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03E7879" w14:textId="4763EF08" w:rsidR="00DA1699" w:rsidRPr="00683277" w:rsidRDefault="00DD6F54" w:rsidP="00DA1699">
      <w:pPr>
        <w:spacing w:before="161" w:after="161" w:line="240" w:lineRule="auto"/>
        <w:outlineLvl w:val="0"/>
        <w:rPr>
          <w:rFonts w:ascii="Arial" w:eastAsia="Times New Roman" w:hAnsi="Arial" w:cs="Arial"/>
          <w:b/>
          <w:bCs/>
          <w:kern w:val="36"/>
          <w:sz w:val="20"/>
          <w:szCs w:val="45"/>
          <w:lang w:val="en" w:eastAsia="en-ZA"/>
        </w:rPr>
      </w:pPr>
      <w:r>
        <w:rPr>
          <w:rStyle w:val="Hyperlink"/>
          <w:rFonts w:ascii="Arial" w:eastAsia="Times New Roman" w:hAnsi="Arial" w:cs="Arial"/>
          <w:b/>
          <w:bCs/>
          <w:kern w:val="36"/>
          <w:sz w:val="20"/>
          <w:szCs w:val="45"/>
          <w:lang w:val="en" w:eastAsia="en-ZA"/>
        </w:rPr>
        <w:fldChar w:fldCharType="begin"/>
      </w:r>
      <w:r>
        <w:rPr>
          <w:rStyle w:val="Hyperlink"/>
          <w:rFonts w:ascii="Arial" w:eastAsia="Times New Roman" w:hAnsi="Arial" w:cs="Arial"/>
          <w:b/>
          <w:bCs/>
          <w:kern w:val="36"/>
          <w:sz w:val="20"/>
          <w:szCs w:val="45"/>
          <w:lang w:val="en" w:eastAsia="en-ZA"/>
        </w:rPr>
        <w:instrText xml:space="preserve"> HYPERLINK "http://www.nature.com/articles/nature06045" </w:instrText>
      </w:r>
      <w:r>
        <w:rPr>
          <w:rStyle w:val="Hyperlink"/>
          <w:rFonts w:ascii="Arial" w:eastAsia="Times New Roman" w:hAnsi="Arial" w:cs="Arial"/>
          <w:b/>
          <w:bCs/>
          <w:kern w:val="36"/>
          <w:sz w:val="20"/>
          <w:szCs w:val="45"/>
          <w:lang w:val="en" w:eastAsia="en-ZA"/>
        </w:rPr>
        <w:fldChar w:fldCharType="separate"/>
      </w:r>
      <w:r w:rsidR="00683277" w:rsidRPr="00683277">
        <w:rPr>
          <w:rStyle w:val="Hyperlink"/>
          <w:rFonts w:ascii="Arial" w:eastAsia="Times New Roman" w:hAnsi="Arial" w:cs="Arial"/>
          <w:b/>
          <w:bCs/>
          <w:kern w:val="36"/>
          <w:sz w:val="20"/>
          <w:szCs w:val="45"/>
          <w:lang w:val="en" w:eastAsia="en-ZA"/>
        </w:rPr>
        <w:t>http://www.nature.com/articles/nature06045</w:t>
      </w:r>
      <w:r>
        <w:rPr>
          <w:rStyle w:val="Hyperlink"/>
          <w:rFonts w:ascii="Arial" w:eastAsia="Times New Roman" w:hAnsi="Arial" w:cs="Arial"/>
          <w:b/>
          <w:bCs/>
          <w:kern w:val="36"/>
          <w:sz w:val="20"/>
          <w:szCs w:val="45"/>
          <w:lang w:val="en" w:eastAsia="en-ZA"/>
        </w:rPr>
        <w:fldChar w:fldCharType="end"/>
      </w:r>
    </w:p>
    <w:p w14:paraId="533790CA" w14:textId="77777777" w:rsidR="00683277" w:rsidRPr="00683277" w:rsidRDefault="00683277" w:rsidP="00DA1699">
      <w:pPr>
        <w:spacing w:before="161" w:after="161" w:line="240" w:lineRule="auto"/>
        <w:outlineLvl w:val="0"/>
        <w:rPr>
          <w:rFonts w:ascii="Arial" w:eastAsia="Times New Roman" w:hAnsi="Arial" w:cs="Arial"/>
          <w:b/>
          <w:bCs/>
          <w:kern w:val="36"/>
          <w:sz w:val="20"/>
          <w:szCs w:val="45"/>
          <w:lang w:val="en" w:eastAsia="en-ZA"/>
        </w:rPr>
      </w:pPr>
    </w:p>
    <w:p w14:paraId="5A988FD4" w14:textId="742DC37B" w:rsidR="00DA1699" w:rsidRPr="00DA1699" w:rsidRDefault="00DA1699" w:rsidP="00DA1699">
      <w:pPr>
        <w:spacing w:before="161" w:after="161" w:line="240" w:lineRule="auto"/>
        <w:outlineLvl w:val="0"/>
        <w:rPr>
          <w:rFonts w:ascii="Arial" w:eastAsia="Times New Roman" w:hAnsi="Arial" w:cs="Arial"/>
          <w:b/>
          <w:bCs/>
          <w:kern w:val="36"/>
          <w:sz w:val="20"/>
          <w:szCs w:val="45"/>
          <w:lang w:val="en" w:eastAsia="en-ZA"/>
        </w:rPr>
      </w:pPr>
      <w:r w:rsidRPr="00DA1699">
        <w:rPr>
          <w:rFonts w:ascii="Arial" w:eastAsia="Times New Roman" w:hAnsi="Arial" w:cs="Arial"/>
          <w:b/>
          <w:bCs/>
          <w:kern w:val="36"/>
          <w:sz w:val="20"/>
          <w:szCs w:val="45"/>
          <w:lang w:val="en" w:eastAsia="en-ZA"/>
        </w:rPr>
        <w:t>Projected increase in continental runoff due to plant responses to increasing carbon dioxide</w:t>
      </w:r>
    </w:p>
    <w:p w14:paraId="29D29035" w14:textId="77777777" w:rsidR="00DA1699" w:rsidRPr="00DA1699" w:rsidRDefault="000C29B0" w:rsidP="00DA1699">
      <w:pPr>
        <w:numPr>
          <w:ilvl w:val="0"/>
          <w:numId w:val="1"/>
        </w:numPr>
        <w:spacing w:before="100" w:beforeAutospacing="1" w:after="100" w:afterAutospacing="1" w:line="240" w:lineRule="auto"/>
        <w:rPr>
          <w:rFonts w:ascii="Arial" w:eastAsia="Times New Roman" w:hAnsi="Arial" w:cs="Arial"/>
          <w:sz w:val="20"/>
          <w:szCs w:val="20"/>
          <w:lang w:val="en" w:eastAsia="en-ZA"/>
        </w:rPr>
      </w:pPr>
      <w:hyperlink r:id="rId5" w:anchor="auth-1" w:history="1">
        <w:r w:rsidR="00DA1699" w:rsidRPr="00DA1699">
          <w:rPr>
            <w:rFonts w:ascii="Arial" w:eastAsia="Times New Roman" w:hAnsi="Arial" w:cs="Arial"/>
            <w:color w:val="006699"/>
            <w:sz w:val="20"/>
            <w:szCs w:val="20"/>
            <w:lang w:val="en" w:eastAsia="en-ZA"/>
          </w:rPr>
          <w:t>Richard A. Betts</w:t>
        </w:r>
      </w:hyperlink>
      <w:hyperlink r:id="rId6" w:anchor="a1" w:history="1">
        <w:r w:rsidR="00DA1699" w:rsidRPr="00DA1699">
          <w:rPr>
            <w:rFonts w:ascii="Arial" w:eastAsia="Times New Roman" w:hAnsi="Arial" w:cs="Arial"/>
            <w:color w:val="006699"/>
            <w:sz w:val="15"/>
            <w:szCs w:val="15"/>
            <w:vertAlign w:val="superscript"/>
            <w:lang w:val="en" w:eastAsia="en-ZA"/>
          </w:rPr>
          <w:t>1</w:t>
        </w:r>
      </w:hyperlink>
    </w:p>
    <w:p w14:paraId="0DF31314" w14:textId="77777777" w:rsidR="00DA1699" w:rsidRPr="00DA1699" w:rsidRDefault="00DA1699" w:rsidP="00DA1699">
      <w:pPr>
        <w:numPr>
          <w:ilvl w:val="0"/>
          <w:numId w:val="1"/>
        </w:numPr>
        <w:spacing w:before="100" w:beforeAutospacing="1" w:after="100" w:afterAutospacing="1" w:line="240" w:lineRule="auto"/>
        <w:rPr>
          <w:rFonts w:ascii="Arial" w:eastAsia="Times New Roman" w:hAnsi="Arial" w:cs="Arial"/>
          <w:sz w:val="20"/>
          <w:szCs w:val="20"/>
          <w:lang w:val="en" w:eastAsia="en-ZA"/>
        </w:rPr>
      </w:pPr>
      <w:r w:rsidRPr="00DA1699">
        <w:rPr>
          <w:rFonts w:ascii="Arial" w:eastAsia="Times New Roman" w:hAnsi="Arial" w:cs="Arial"/>
          <w:sz w:val="20"/>
          <w:szCs w:val="20"/>
          <w:lang w:val="en" w:eastAsia="en-ZA"/>
        </w:rPr>
        <w:t xml:space="preserve">, </w:t>
      </w:r>
      <w:hyperlink r:id="rId7" w:anchor="auth-2" w:history="1">
        <w:r w:rsidRPr="00DA1699">
          <w:rPr>
            <w:rFonts w:ascii="Arial" w:eastAsia="Times New Roman" w:hAnsi="Arial" w:cs="Arial"/>
            <w:color w:val="006699"/>
            <w:sz w:val="20"/>
            <w:szCs w:val="20"/>
            <w:lang w:val="en" w:eastAsia="en-ZA"/>
          </w:rPr>
          <w:t>Olivier Boucher</w:t>
        </w:r>
      </w:hyperlink>
      <w:hyperlink r:id="rId8" w:anchor="a1" w:history="1">
        <w:r w:rsidRPr="00DA1699">
          <w:rPr>
            <w:rFonts w:ascii="Arial" w:eastAsia="Times New Roman" w:hAnsi="Arial" w:cs="Arial"/>
            <w:color w:val="006699"/>
            <w:sz w:val="15"/>
            <w:szCs w:val="15"/>
            <w:vertAlign w:val="superscript"/>
            <w:lang w:val="en" w:eastAsia="en-ZA"/>
          </w:rPr>
          <w:t>1</w:t>
        </w:r>
      </w:hyperlink>
    </w:p>
    <w:p w14:paraId="412FA73B" w14:textId="77777777" w:rsidR="00DA1699" w:rsidRPr="00DA1699" w:rsidRDefault="00DA1699" w:rsidP="00DA1699">
      <w:pPr>
        <w:numPr>
          <w:ilvl w:val="0"/>
          <w:numId w:val="1"/>
        </w:numPr>
        <w:spacing w:before="100" w:beforeAutospacing="1" w:after="100" w:afterAutospacing="1" w:line="240" w:lineRule="auto"/>
        <w:rPr>
          <w:rFonts w:ascii="Arial" w:eastAsia="Times New Roman" w:hAnsi="Arial" w:cs="Arial"/>
          <w:sz w:val="20"/>
          <w:szCs w:val="20"/>
          <w:lang w:val="en" w:eastAsia="en-ZA"/>
        </w:rPr>
      </w:pPr>
      <w:r w:rsidRPr="00DA1699">
        <w:rPr>
          <w:rFonts w:ascii="Arial" w:eastAsia="Times New Roman" w:hAnsi="Arial" w:cs="Arial"/>
          <w:sz w:val="20"/>
          <w:szCs w:val="20"/>
          <w:lang w:val="en" w:eastAsia="en-ZA"/>
        </w:rPr>
        <w:t xml:space="preserve">, </w:t>
      </w:r>
      <w:hyperlink r:id="rId9" w:anchor="auth-3" w:history="1">
        <w:r w:rsidRPr="00DA1699">
          <w:rPr>
            <w:rFonts w:ascii="Arial" w:eastAsia="Times New Roman" w:hAnsi="Arial" w:cs="Arial"/>
            <w:color w:val="006699"/>
            <w:sz w:val="20"/>
            <w:szCs w:val="20"/>
            <w:lang w:val="en" w:eastAsia="en-ZA"/>
          </w:rPr>
          <w:t>Matthew Collins</w:t>
        </w:r>
      </w:hyperlink>
      <w:hyperlink r:id="rId10" w:anchor="a1" w:history="1">
        <w:r w:rsidRPr="00DA1699">
          <w:rPr>
            <w:rFonts w:ascii="Arial" w:eastAsia="Times New Roman" w:hAnsi="Arial" w:cs="Arial"/>
            <w:color w:val="006699"/>
            <w:sz w:val="15"/>
            <w:szCs w:val="15"/>
            <w:vertAlign w:val="superscript"/>
            <w:lang w:val="en" w:eastAsia="en-ZA"/>
          </w:rPr>
          <w:t>1</w:t>
        </w:r>
      </w:hyperlink>
    </w:p>
    <w:p w14:paraId="5C2F486A" w14:textId="77777777" w:rsidR="00DA1699" w:rsidRPr="00DA1699" w:rsidRDefault="00DA1699" w:rsidP="00DA1699">
      <w:pPr>
        <w:numPr>
          <w:ilvl w:val="0"/>
          <w:numId w:val="1"/>
        </w:numPr>
        <w:spacing w:before="100" w:beforeAutospacing="1" w:after="100" w:afterAutospacing="1" w:line="240" w:lineRule="auto"/>
        <w:rPr>
          <w:rFonts w:ascii="Arial" w:eastAsia="Times New Roman" w:hAnsi="Arial" w:cs="Arial"/>
          <w:sz w:val="20"/>
          <w:szCs w:val="20"/>
          <w:lang w:val="en" w:eastAsia="en-ZA"/>
        </w:rPr>
      </w:pPr>
      <w:r w:rsidRPr="00DA1699">
        <w:rPr>
          <w:rFonts w:ascii="Arial" w:eastAsia="Times New Roman" w:hAnsi="Arial" w:cs="Arial"/>
          <w:sz w:val="20"/>
          <w:szCs w:val="20"/>
          <w:lang w:val="en" w:eastAsia="en-ZA"/>
        </w:rPr>
        <w:t xml:space="preserve">, </w:t>
      </w:r>
      <w:hyperlink r:id="rId11" w:anchor="auth-4" w:history="1">
        <w:r w:rsidRPr="00DA1699">
          <w:rPr>
            <w:rFonts w:ascii="Arial" w:eastAsia="Times New Roman" w:hAnsi="Arial" w:cs="Arial"/>
            <w:color w:val="006699"/>
            <w:sz w:val="20"/>
            <w:szCs w:val="20"/>
            <w:lang w:val="en" w:eastAsia="en-ZA"/>
          </w:rPr>
          <w:t>Peter M. Cox</w:t>
        </w:r>
      </w:hyperlink>
      <w:hyperlink r:id="rId12" w:anchor="a1" w:history="1">
        <w:r w:rsidRPr="00DA1699">
          <w:rPr>
            <w:rFonts w:ascii="Arial" w:eastAsia="Times New Roman" w:hAnsi="Arial" w:cs="Arial"/>
            <w:color w:val="006699"/>
            <w:sz w:val="15"/>
            <w:szCs w:val="15"/>
            <w:vertAlign w:val="superscript"/>
            <w:lang w:val="en" w:eastAsia="en-ZA"/>
          </w:rPr>
          <w:t>1</w:t>
        </w:r>
      </w:hyperlink>
      <w:r w:rsidRPr="00DA1699">
        <w:rPr>
          <w:rFonts w:ascii="Arial" w:eastAsia="Times New Roman" w:hAnsi="Arial" w:cs="Arial"/>
          <w:sz w:val="15"/>
          <w:szCs w:val="15"/>
          <w:vertAlign w:val="superscript"/>
          <w:lang w:val="en" w:eastAsia="en-ZA"/>
        </w:rPr>
        <w:t xml:space="preserve">, </w:t>
      </w:r>
      <w:hyperlink r:id="rId13" w:anchor="a2" w:history="1">
        <w:r w:rsidRPr="00DA1699">
          <w:rPr>
            <w:rFonts w:ascii="Arial" w:eastAsia="Times New Roman" w:hAnsi="Arial" w:cs="Arial"/>
            <w:color w:val="006699"/>
            <w:sz w:val="15"/>
            <w:szCs w:val="15"/>
            <w:vertAlign w:val="superscript"/>
            <w:lang w:val="en" w:eastAsia="en-ZA"/>
          </w:rPr>
          <w:t>2</w:t>
        </w:r>
      </w:hyperlink>
    </w:p>
    <w:p w14:paraId="1CF9FD60" w14:textId="77777777" w:rsidR="00DA1699" w:rsidRPr="00DA1699" w:rsidRDefault="00DA1699" w:rsidP="00DA1699">
      <w:pPr>
        <w:numPr>
          <w:ilvl w:val="0"/>
          <w:numId w:val="1"/>
        </w:numPr>
        <w:spacing w:before="100" w:beforeAutospacing="1" w:after="100" w:afterAutospacing="1" w:line="240" w:lineRule="auto"/>
        <w:rPr>
          <w:rFonts w:ascii="Arial" w:eastAsia="Times New Roman" w:hAnsi="Arial" w:cs="Arial"/>
          <w:sz w:val="20"/>
          <w:szCs w:val="20"/>
          <w:lang w:val="en" w:eastAsia="en-ZA"/>
        </w:rPr>
      </w:pPr>
      <w:r w:rsidRPr="00DA1699">
        <w:rPr>
          <w:rFonts w:ascii="Arial" w:eastAsia="Times New Roman" w:hAnsi="Arial" w:cs="Arial"/>
          <w:sz w:val="20"/>
          <w:szCs w:val="20"/>
          <w:lang w:val="en" w:eastAsia="en-ZA"/>
        </w:rPr>
        <w:t xml:space="preserve">, </w:t>
      </w:r>
      <w:hyperlink r:id="rId14" w:anchor="auth-5" w:history="1">
        <w:r w:rsidRPr="00DA1699">
          <w:rPr>
            <w:rFonts w:ascii="Arial" w:eastAsia="Times New Roman" w:hAnsi="Arial" w:cs="Arial"/>
            <w:color w:val="006699"/>
            <w:sz w:val="20"/>
            <w:szCs w:val="20"/>
            <w:lang w:val="en" w:eastAsia="en-ZA"/>
          </w:rPr>
          <w:t>Peter D. Falloon</w:t>
        </w:r>
      </w:hyperlink>
      <w:hyperlink r:id="rId15" w:anchor="a1" w:history="1">
        <w:r w:rsidRPr="00DA1699">
          <w:rPr>
            <w:rFonts w:ascii="Arial" w:eastAsia="Times New Roman" w:hAnsi="Arial" w:cs="Arial"/>
            <w:color w:val="006699"/>
            <w:sz w:val="15"/>
            <w:szCs w:val="15"/>
            <w:vertAlign w:val="superscript"/>
            <w:lang w:val="en" w:eastAsia="en-ZA"/>
          </w:rPr>
          <w:t>1</w:t>
        </w:r>
      </w:hyperlink>
    </w:p>
    <w:p w14:paraId="3D7A10CF" w14:textId="77777777" w:rsidR="00DA1699" w:rsidRPr="00DA1699" w:rsidRDefault="00DA1699" w:rsidP="00DA1699">
      <w:pPr>
        <w:numPr>
          <w:ilvl w:val="0"/>
          <w:numId w:val="1"/>
        </w:numPr>
        <w:spacing w:before="100" w:beforeAutospacing="1" w:after="100" w:afterAutospacing="1" w:line="240" w:lineRule="auto"/>
        <w:rPr>
          <w:rFonts w:ascii="Arial" w:eastAsia="Times New Roman" w:hAnsi="Arial" w:cs="Arial"/>
          <w:sz w:val="20"/>
          <w:szCs w:val="20"/>
          <w:lang w:val="en" w:eastAsia="en-ZA"/>
        </w:rPr>
      </w:pPr>
      <w:r w:rsidRPr="00DA1699">
        <w:rPr>
          <w:rFonts w:ascii="Arial" w:eastAsia="Times New Roman" w:hAnsi="Arial" w:cs="Arial"/>
          <w:sz w:val="20"/>
          <w:szCs w:val="20"/>
          <w:lang w:val="en" w:eastAsia="en-ZA"/>
        </w:rPr>
        <w:t xml:space="preserve">, </w:t>
      </w:r>
      <w:hyperlink r:id="rId16" w:anchor="auth-6" w:history="1">
        <w:r w:rsidRPr="00DA1699">
          <w:rPr>
            <w:rFonts w:ascii="Arial" w:eastAsia="Times New Roman" w:hAnsi="Arial" w:cs="Arial"/>
            <w:color w:val="006699"/>
            <w:sz w:val="20"/>
            <w:szCs w:val="20"/>
            <w:lang w:val="en" w:eastAsia="en-ZA"/>
          </w:rPr>
          <w:t>Nicola Gedney</w:t>
        </w:r>
      </w:hyperlink>
      <w:hyperlink r:id="rId17" w:anchor="a3" w:history="1">
        <w:r w:rsidRPr="00DA1699">
          <w:rPr>
            <w:rFonts w:ascii="Arial" w:eastAsia="Times New Roman" w:hAnsi="Arial" w:cs="Arial"/>
            <w:color w:val="006699"/>
            <w:sz w:val="15"/>
            <w:szCs w:val="15"/>
            <w:vertAlign w:val="superscript"/>
            <w:lang w:val="en" w:eastAsia="en-ZA"/>
          </w:rPr>
          <w:t>3</w:t>
        </w:r>
      </w:hyperlink>
    </w:p>
    <w:p w14:paraId="0EE3B33D" w14:textId="77777777" w:rsidR="00DA1699" w:rsidRPr="00DA1699" w:rsidRDefault="00DA1699" w:rsidP="00DA1699">
      <w:pPr>
        <w:numPr>
          <w:ilvl w:val="0"/>
          <w:numId w:val="1"/>
        </w:numPr>
        <w:spacing w:before="100" w:beforeAutospacing="1" w:after="100" w:afterAutospacing="1" w:line="240" w:lineRule="auto"/>
        <w:rPr>
          <w:rFonts w:ascii="Arial" w:eastAsia="Times New Roman" w:hAnsi="Arial" w:cs="Arial"/>
          <w:sz w:val="20"/>
          <w:szCs w:val="20"/>
          <w:lang w:val="en" w:eastAsia="en-ZA"/>
        </w:rPr>
      </w:pPr>
      <w:r w:rsidRPr="00DA1699">
        <w:rPr>
          <w:rFonts w:ascii="Arial" w:eastAsia="Times New Roman" w:hAnsi="Arial" w:cs="Arial"/>
          <w:sz w:val="20"/>
          <w:szCs w:val="20"/>
          <w:lang w:val="en" w:eastAsia="en-ZA"/>
        </w:rPr>
        <w:t xml:space="preserve">, </w:t>
      </w:r>
      <w:hyperlink r:id="rId18" w:anchor="auth-7" w:history="1">
        <w:r w:rsidRPr="00DA1699">
          <w:rPr>
            <w:rFonts w:ascii="Arial" w:eastAsia="Times New Roman" w:hAnsi="Arial" w:cs="Arial"/>
            <w:color w:val="006699"/>
            <w:sz w:val="20"/>
            <w:szCs w:val="20"/>
            <w:lang w:val="en" w:eastAsia="en-ZA"/>
          </w:rPr>
          <w:t>Deborah L. Hemming</w:t>
        </w:r>
      </w:hyperlink>
      <w:hyperlink r:id="rId19" w:anchor="a1" w:history="1">
        <w:r w:rsidRPr="00DA1699">
          <w:rPr>
            <w:rFonts w:ascii="Arial" w:eastAsia="Times New Roman" w:hAnsi="Arial" w:cs="Arial"/>
            <w:color w:val="006699"/>
            <w:sz w:val="15"/>
            <w:szCs w:val="15"/>
            <w:vertAlign w:val="superscript"/>
            <w:lang w:val="en" w:eastAsia="en-ZA"/>
          </w:rPr>
          <w:t>1</w:t>
        </w:r>
      </w:hyperlink>
    </w:p>
    <w:p w14:paraId="505FDD10" w14:textId="77777777" w:rsidR="00DA1699" w:rsidRPr="00DA1699" w:rsidRDefault="00DA1699" w:rsidP="00DA1699">
      <w:pPr>
        <w:numPr>
          <w:ilvl w:val="0"/>
          <w:numId w:val="1"/>
        </w:numPr>
        <w:spacing w:before="100" w:beforeAutospacing="1" w:after="100" w:afterAutospacing="1" w:line="240" w:lineRule="auto"/>
        <w:rPr>
          <w:rFonts w:ascii="Arial" w:eastAsia="Times New Roman" w:hAnsi="Arial" w:cs="Arial"/>
          <w:sz w:val="20"/>
          <w:szCs w:val="20"/>
          <w:lang w:val="en" w:eastAsia="en-ZA"/>
        </w:rPr>
      </w:pPr>
      <w:r w:rsidRPr="00DA1699">
        <w:rPr>
          <w:rFonts w:ascii="Arial" w:eastAsia="Times New Roman" w:hAnsi="Arial" w:cs="Arial"/>
          <w:sz w:val="20"/>
          <w:szCs w:val="20"/>
          <w:lang w:val="en" w:eastAsia="en-ZA"/>
        </w:rPr>
        <w:t xml:space="preserve">, </w:t>
      </w:r>
      <w:hyperlink r:id="rId20" w:anchor="auth-8" w:history="1">
        <w:r w:rsidRPr="00DA1699">
          <w:rPr>
            <w:rFonts w:ascii="Arial" w:eastAsia="Times New Roman" w:hAnsi="Arial" w:cs="Arial"/>
            <w:color w:val="006699"/>
            <w:sz w:val="20"/>
            <w:szCs w:val="20"/>
            <w:lang w:val="en" w:eastAsia="en-ZA"/>
          </w:rPr>
          <w:t>Chris Huntingford</w:t>
        </w:r>
      </w:hyperlink>
      <w:hyperlink r:id="rId21" w:anchor="a4" w:history="1">
        <w:r w:rsidRPr="00DA1699">
          <w:rPr>
            <w:rFonts w:ascii="Arial" w:eastAsia="Times New Roman" w:hAnsi="Arial" w:cs="Arial"/>
            <w:color w:val="006699"/>
            <w:sz w:val="15"/>
            <w:szCs w:val="15"/>
            <w:vertAlign w:val="superscript"/>
            <w:lang w:val="en" w:eastAsia="en-ZA"/>
          </w:rPr>
          <w:t>4</w:t>
        </w:r>
      </w:hyperlink>
    </w:p>
    <w:p w14:paraId="08B0879B" w14:textId="77777777" w:rsidR="00DA1699" w:rsidRPr="00DA1699" w:rsidRDefault="00DA1699" w:rsidP="00DA1699">
      <w:pPr>
        <w:numPr>
          <w:ilvl w:val="0"/>
          <w:numId w:val="1"/>
        </w:numPr>
        <w:spacing w:before="100" w:beforeAutospacing="1" w:after="100" w:afterAutospacing="1" w:line="240" w:lineRule="auto"/>
        <w:rPr>
          <w:rFonts w:ascii="Arial" w:eastAsia="Times New Roman" w:hAnsi="Arial" w:cs="Arial"/>
          <w:sz w:val="20"/>
          <w:szCs w:val="20"/>
          <w:lang w:val="en" w:eastAsia="en-ZA"/>
        </w:rPr>
      </w:pPr>
      <w:r w:rsidRPr="00DA1699">
        <w:rPr>
          <w:rFonts w:ascii="Arial" w:eastAsia="Times New Roman" w:hAnsi="Arial" w:cs="Arial"/>
          <w:sz w:val="20"/>
          <w:szCs w:val="20"/>
          <w:lang w:val="en" w:eastAsia="en-ZA"/>
        </w:rPr>
        <w:t xml:space="preserve">, </w:t>
      </w:r>
      <w:hyperlink r:id="rId22" w:anchor="auth-9" w:history="1">
        <w:r w:rsidRPr="00DA1699">
          <w:rPr>
            <w:rFonts w:ascii="Arial" w:eastAsia="Times New Roman" w:hAnsi="Arial" w:cs="Arial"/>
            <w:color w:val="006699"/>
            <w:sz w:val="20"/>
            <w:szCs w:val="20"/>
            <w:lang w:val="en" w:eastAsia="en-ZA"/>
          </w:rPr>
          <w:t>Chris D. Jones</w:t>
        </w:r>
      </w:hyperlink>
      <w:hyperlink r:id="rId23" w:anchor="a1" w:history="1">
        <w:r w:rsidRPr="00DA1699">
          <w:rPr>
            <w:rFonts w:ascii="Arial" w:eastAsia="Times New Roman" w:hAnsi="Arial" w:cs="Arial"/>
            <w:color w:val="006699"/>
            <w:sz w:val="15"/>
            <w:szCs w:val="15"/>
            <w:vertAlign w:val="superscript"/>
            <w:lang w:val="en" w:eastAsia="en-ZA"/>
          </w:rPr>
          <w:t>1</w:t>
        </w:r>
      </w:hyperlink>
    </w:p>
    <w:p w14:paraId="774F0226" w14:textId="77777777" w:rsidR="00DA1699" w:rsidRPr="00DA1699" w:rsidRDefault="00DA1699" w:rsidP="00DA1699">
      <w:pPr>
        <w:numPr>
          <w:ilvl w:val="0"/>
          <w:numId w:val="1"/>
        </w:numPr>
        <w:spacing w:before="100" w:beforeAutospacing="1" w:after="100" w:afterAutospacing="1" w:line="240" w:lineRule="auto"/>
        <w:rPr>
          <w:rFonts w:ascii="Arial" w:eastAsia="Times New Roman" w:hAnsi="Arial" w:cs="Arial"/>
          <w:sz w:val="20"/>
          <w:szCs w:val="20"/>
          <w:lang w:val="en" w:eastAsia="en-ZA"/>
        </w:rPr>
      </w:pPr>
      <w:r w:rsidRPr="00DA1699">
        <w:rPr>
          <w:rFonts w:ascii="Arial" w:eastAsia="Times New Roman" w:hAnsi="Arial" w:cs="Arial"/>
          <w:sz w:val="20"/>
          <w:szCs w:val="20"/>
          <w:lang w:val="en" w:eastAsia="en-ZA"/>
        </w:rPr>
        <w:t xml:space="preserve">, </w:t>
      </w:r>
      <w:hyperlink r:id="rId24" w:anchor="auth-10" w:history="1">
        <w:r w:rsidRPr="00DA1699">
          <w:rPr>
            <w:rFonts w:ascii="Arial" w:eastAsia="Times New Roman" w:hAnsi="Arial" w:cs="Arial"/>
            <w:color w:val="006699"/>
            <w:sz w:val="20"/>
            <w:szCs w:val="20"/>
            <w:lang w:val="en" w:eastAsia="en-ZA"/>
          </w:rPr>
          <w:t>David M. H. Sexton</w:t>
        </w:r>
      </w:hyperlink>
      <w:hyperlink r:id="rId25" w:anchor="a1" w:history="1">
        <w:r w:rsidRPr="00DA1699">
          <w:rPr>
            <w:rFonts w:ascii="Arial" w:eastAsia="Times New Roman" w:hAnsi="Arial" w:cs="Arial"/>
            <w:color w:val="006699"/>
            <w:sz w:val="15"/>
            <w:szCs w:val="15"/>
            <w:vertAlign w:val="superscript"/>
            <w:lang w:val="en" w:eastAsia="en-ZA"/>
          </w:rPr>
          <w:t>1</w:t>
        </w:r>
      </w:hyperlink>
    </w:p>
    <w:p w14:paraId="2D125887" w14:textId="77777777" w:rsidR="00DA1699" w:rsidRPr="00DA1699" w:rsidRDefault="000C29B0" w:rsidP="00DA1699">
      <w:pPr>
        <w:numPr>
          <w:ilvl w:val="0"/>
          <w:numId w:val="1"/>
        </w:numPr>
        <w:spacing w:before="100" w:beforeAutospacing="1" w:after="100" w:afterAutospacing="1" w:line="240" w:lineRule="auto"/>
        <w:rPr>
          <w:rFonts w:ascii="Arial" w:eastAsia="Times New Roman" w:hAnsi="Arial" w:cs="Arial"/>
          <w:sz w:val="20"/>
          <w:szCs w:val="20"/>
          <w:lang w:val="en" w:eastAsia="en-ZA"/>
        </w:rPr>
      </w:pPr>
      <w:hyperlink r:id="rId26" w:tooltip="Show all 11 authors" w:history="1">
        <w:r w:rsidR="00DA1699" w:rsidRPr="00DA1699">
          <w:rPr>
            <w:rFonts w:ascii="Arial" w:eastAsia="Times New Roman" w:hAnsi="Arial" w:cs="Arial"/>
            <w:color w:val="006699"/>
            <w:sz w:val="20"/>
            <w:szCs w:val="20"/>
            <w:lang w:val="en" w:eastAsia="en-ZA"/>
          </w:rPr>
          <w:t>[…]</w:t>
        </w:r>
      </w:hyperlink>
    </w:p>
    <w:p w14:paraId="33DAFC19" w14:textId="77777777" w:rsidR="00DA1699" w:rsidRPr="00DA1699" w:rsidRDefault="00DA1699" w:rsidP="00DA1699">
      <w:pPr>
        <w:numPr>
          <w:ilvl w:val="0"/>
          <w:numId w:val="1"/>
        </w:numPr>
        <w:spacing w:before="100" w:beforeAutospacing="1" w:after="100" w:afterAutospacing="1" w:line="240" w:lineRule="auto"/>
        <w:rPr>
          <w:rFonts w:ascii="Arial" w:eastAsia="Times New Roman" w:hAnsi="Arial" w:cs="Arial"/>
          <w:sz w:val="20"/>
          <w:szCs w:val="20"/>
          <w:lang w:val="en" w:eastAsia="en-ZA"/>
        </w:rPr>
      </w:pPr>
      <w:r w:rsidRPr="00DA1699">
        <w:rPr>
          <w:rFonts w:ascii="Arial" w:eastAsia="Times New Roman" w:hAnsi="Arial" w:cs="Arial"/>
          <w:sz w:val="20"/>
          <w:szCs w:val="20"/>
          <w:lang w:val="en" w:eastAsia="en-ZA"/>
        </w:rPr>
        <w:t xml:space="preserve"> &amp; </w:t>
      </w:r>
      <w:hyperlink r:id="rId27" w:anchor="auth-11" w:history="1">
        <w:r w:rsidRPr="00DA1699">
          <w:rPr>
            <w:rFonts w:ascii="Arial" w:eastAsia="Times New Roman" w:hAnsi="Arial" w:cs="Arial"/>
            <w:color w:val="006699"/>
            <w:sz w:val="20"/>
            <w:szCs w:val="20"/>
            <w:lang w:val="en" w:eastAsia="en-ZA"/>
          </w:rPr>
          <w:t>Mark J. Webb</w:t>
        </w:r>
      </w:hyperlink>
      <w:hyperlink r:id="rId28" w:anchor="a1" w:history="1">
        <w:r w:rsidRPr="00DA1699">
          <w:rPr>
            <w:rFonts w:ascii="Arial" w:eastAsia="Times New Roman" w:hAnsi="Arial" w:cs="Arial"/>
            <w:color w:val="006699"/>
            <w:sz w:val="15"/>
            <w:szCs w:val="15"/>
            <w:vertAlign w:val="superscript"/>
            <w:lang w:val="en" w:eastAsia="en-ZA"/>
          </w:rPr>
          <w:t>1</w:t>
        </w:r>
      </w:hyperlink>
    </w:p>
    <w:p w14:paraId="730628BD" w14:textId="77777777" w:rsidR="00DA1699" w:rsidRPr="00DA1699" w:rsidRDefault="000C29B0" w:rsidP="00DA1699">
      <w:pPr>
        <w:numPr>
          <w:ilvl w:val="0"/>
          <w:numId w:val="1"/>
        </w:numPr>
        <w:spacing w:before="100" w:beforeAutospacing="1" w:after="100" w:afterAutospacing="1" w:line="240" w:lineRule="auto"/>
        <w:rPr>
          <w:rFonts w:ascii="Arial" w:eastAsia="Times New Roman" w:hAnsi="Arial" w:cs="Arial"/>
          <w:sz w:val="20"/>
          <w:szCs w:val="20"/>
          <w:lang w:val="en" w:eastAsia="en-ZA"/>
        </w:rPr>
      </w:pPr>
      <w:hyperlink r:id="rId29" w:history="1">
        <w:r w:rsidR="00DA1699" w:rsidRPr="00DA1699">
          <w:rPr>
            <w:rFonts w:ascii="Arial" w:eastAsia="Times New Roman" w:hAnsi="Arial" w:cs="Arial"/>
            <w:color w:val="006699"/>
            <w:sz w:val="20"/>
            <w:szCs w:val="20"/>
            <w:lang w:val="en" w:eastAsia="en-ZA"/>
          </w:rPr>
          <w:t>- Show fewer authors</w:t>
        </w:r>
      </w:hyperlink>
    </w:p>
    <w:p w14:paraId="4E55DCCF" w14:textId="77777777" w:rsidR="00DA1699" w:rsidRPr="00DA1699" w:rsidRDefault="00DA1699" w:rsidP="00DA1699">
      <w:pPr>
        <w:spacing w:before="100" w:beforeAutospacing="1" w:after="100" w:afterAutospacing="1" w:line="240" w:lineRule="auto"/>
        <w:rPr>
          <w:rFonts w:ascii="Arial" w:eastAsia="Times New Roman" w:hAnsi="Arial" w:cs="Arial"/>
          <w:sz w:val="12"/>
          <w:szCs w:val="20"/>
          <w:lang w:val="en" w:eastAsia="en-ZA"/>
        </w:rPr>
      </w:pPr>
      <w:r w:rsidRPr="00DA1699">
        <w:rPr>
          <w:rFonts w:ascii="Arial" w:eastAsia="Times New Roman" w:hAnsi="Arial" w:cs="Arial"/>
          <w:i/>
          <w:iCs/>
          <w:sz w:val="12"/>
          <w:szCs w:val="20"/>
          <w:lang w:val="en" w:eastAsia="en-ZA"/>
        </w:rPr>
        <w:t>Nature</w:t>
      </w:r>
      <w:r w:rsidRPr="00DA1699">
        <w:rPr>
          <w:rFonts w:ascii="Arial" w:eastAsia="Times New Roman" w:hAnsi="Arial" w:cs="Arial"/>
          <w:sz w:val="12"/>
          <w:szCs w:val="20"/>
          <w:lang w:val="en" w:eastAsia="en-ZA"/>
        </w:rPr>
        <w:t xml:space="preserve"> </w:t>
      </w:r>
      <w:r w:rsidRPr="00DA1699">
        <w:rPr>
          <w:rFonts w:ascii="Arial" w:eastAsia="Times New Roman" w:hAnsi="Arial" w:cs="Arial"/>
          <w:b/>
          <w:bCs/>
          <w:sz w:val="12"/>
          <w:szCs w:val="20"/>
          <w:lang w:val="en" w:eastAsia="en-ZA"/>
        </w:rPr>
        <w:t>volume 448</w:t>
      </w:r>
      <w:r w:rsidRPr="00DA1699">
        <w:rPr>
          <w:rFonts w:ascii="Arial" w:eastAsia="Times New Roman" w:hAnsi="Arial" w:cs="Arial"/>
          <w:sz w:val="12"/>
          <w:szCs w:val="20"/>
          <w:lang w:val="en" w:eastAsia="en-ZA"/>
        </w:rPr>
        <w:t xml:space="preserve">, pages 1037–1041 (30 August 2007) | </w:t>
      </w:r>
      <w:hyperlink r:id="rId30" w:history="1">
        <w:r w:rsidRPr="00DA1699">
          <w:rPr>
            <w:rFonts w:ascii="Arial" w:eastAsia="Times New Roman" w:hAnsi="Arial" w:cs="Arial"/>
            <w:color w:val="006699"/>
            <w:sz w:val="12"/>
            <w:szCs w:val="20"/>
            <w:lang w:val="en" w:eastAsia="en-ZA"/>
          </w:rPr>
          <w:t>Download Citation</w:t>
        </w:r>
      </w:hyperlink>
    </w:p>
    <w:p w14:paraId="4F04DEAB" w14:textId="77777777" w:rsidR="00DA1699" w:rsidRPr="00DA1699" w:rsidRDefault="00DA1699" w:rsidP="00DA1699">
      <w:pPr>
        <w:spacing w:before="100" w:beforeAutospacing="1" w:after="100" w:afterAutospacing="1" w:line="240" w:lineRule="auto"/>
        <w:outlineLvl w:val="2"/>
        <w:rPr>
          <w:rFonts w:ascii="Arial" w:eastAsia="Times New Roman" w:hAnsi="Arial" w:cs="Arial"/>
          <w:b/>
          <w:bCs/>
          <w:sz w:val="18"/>
          <w:szCs w:val="26"/>
          <w:lang w:val="en" w:eastAsia="en-ZA"/>
        </w:rPr>
      </w:pPr>
      <w:r w:rsidRPr="00DA1699">
        <w:rPr>
          <w:rFonts w:ascii="Arial" w:eastAsia="Times New Roman" w:hAnsi="Arial" w:cs="Arial"/>
          <w:b/>
          <w:bCs/>
          <w:sz w:val="18"/>
          <w:szCs w:val="26"/>
          <w:lang w:val="en" w:eastAsia="en-ZA"/>
        </w:rPr>
        <w:t>Subjects</w:t>
      </w:r>
    </w:p>
    <w:p w14:paraId="08DF2E6D" w14:textId="3F7CD863" w:rsidR="00DA1699" w:rsidRPr="00DA1699" w:rsidRDefault="00DA1699" w:rsidP="00DA1699">
      <w:pPr>
        <w:spacing w:before="100" w:beforeAutospacing="1" w:after="100" w:afterAutospacing="1" w:line="240" w:lineRule="auto"/>
        <w:outlineLvl w:val="1"/>
        <w:rPr>
          <w:rFonts w:ascii="Arial" w:eastAsia="Times New Roman" w:hAnsi="Arial" w:cs="Arial"/>
          <w:b/>
          <w:bCs/>
          <w:szCs w:val="36"/>
          <w:lang w:val="en" w:eastAsia="en-ZA"/>
        </w:rPr>
      </w:pPr>
      <w:r w:rsidRPr="00DA1699">
        <w:rPr>
          <w:rFonts w:ascii="Arial" w:eastAsia="Times New Roman" w:hAnsi="Arial" w:cs="Arial"/>
          <w:b/>
          <w:bCs/>
          <w:szCs w:val="36"/>
          <w:lang w:val="en" w:eastAsia="en-ZA"/>
        </w:rPr>
        <w:t>Abstract</w:t>
      </w:r>
    </w:p>
    <w:p w14:paraId="7504B914" w14:textId="27C5290E" w:rsidR="00DA1699" w:rsidRDefault="00DA1699" w:rsidP="00DA1699">
      <w:pPr>
        <w:spacing w:before="100" w:beforeAutospacing="1" w:after="100" w:afterAutospacing="1" w:line="240" w:lineRule="auto"/>
        <w:rPr>
          <w:rFonts w:ascii="Arial" w:eastAsia="Times New Roman" w:hAnsi="Arial" w:cs="Arial"/>
          <w:sz w:val="20"/>
          <w:szCs w:val="20"/>
          <w:lang w:val="en" w:eastAsia="en-ZA"/>
        </w:rPr>
      </w:pPr>
      <w:r w:rsidRPr="00DA1699">
        <w:rPr>
          <w:rFonts w:ascii="Arial" w:eastAsia="Times New Roman" w:hAnsi="Arial" w:cs="Arial"/>
          <w:sz w:val="20"/>
          <w:szCs w:val="20"/>
          <w:lang w:val="en" w:eastAsia="en-ZA"/>
        </w:rPr>
        <w:t>In addition to influencing climatic conditions directly through radiative forcing, increasing carbon dioxide concentration influences the climate system through its effects on plant physiology</w:t>
      </w:r>
      <w:hyperlink r:id="rId31" w:anchor="ref1" w:tooltip="Sellers, P. J. et al. Comparison of radiative and physiological effects of doubled atmospheric CO2 on climate. Science 271, 1402–1406 (1996)" w:history="1">
        <w:r w:rsidRPr="00DA1699">
          <w:rPr>
            <w:rFonts w:ascii="Arial" w:eastAsia="Times New Roman" w:hAnsi="Arial" w:cs="Arial"/>
            <w:color w:val="006699"/>
            <w:sz w:val="15"/>
            <w:szCs w:val="15"/>
            <w:vertAlign w:val="superscript"/>
            <w:lang w:val="en" w:eastAsia="en-ZA"/>
          </w:rPr>
          <w:t>1</w:t>
        </w:r>
      </w:hyperlink>
      <w:r w:rsidRPr="00DA1699">
        <w:rPr>
          <w:rFonts w:ascii="Arial" w:eastAsia="Times New Roman" w:hAnsi="Arial" w:cs="Arial"/>
          <w:sz w:val="20"/>
          <w:szCs w:val="20"/>
          <w:lang w:val="en" w:eastAsia="en-ZA"/>
        </w:rPr>
        <w:t>. Plant stomata generally open less widely under increased carbon dioxide concentration</w:t>
      </w:r>
      <w:hyperlink r:id="rId32" w:anchor="ref2" w:tooltip="Field, C., Jackson, R. &amp; Mooney, H. Stomatal responses to increased CO2: implications from the plant to the global scale. Plant Cell Environ. 18, 1214–1255 (1995)" w:history="1">
        <w:r w:rsidRPr="00DA1699">
          <w:rPr>
            <w:rFonts w:ascii="Arial" w:eastAsia="Times New Roman" w:hAnsi="Arial" w:cs="Arial"/>
            <w:color w:val="006699"/>
            <w:sz w:val="15"/>
            <w:szCs w:val="15"/>
            <w:vertAlign w:val="superscript"/>
            <w:lang w:val="en" w:eastAsia="en-ZA"/>
          </w:rPr>
          <w:t>2</w:t>
        </w:r>
      </w:hyperlink>
      <w:r w:rsidRPr="00DA1699">
        <w:rPr>
          <w:rFonts w:ascii="Arial" w:eastAsia="Times New Roman" w:hAnsi="Arial" w:cs="Arial"/>
          <w:sz w:val="20"/>
          <w:szCs w:val="20"/>
          <w:lang w:val="en" w:eastAsia="en-ZA"/>
        </w:rPr>
        <w:t>, which reduces transpiration</w:t>
      </w:r>
      <w:hyperlink r:id="rId33" w:anchor="ref1" w:tooltip="Sellers, P. J. et al. Comparison of radiative and physiological effects of doubled atmospheric CO2 on climate. Science 271, 1402–1406 (1996)" w:history="1">
        <w:r w:rsidRPr="00DA1699">
          <w:rPr>
            <w:rFonts w:ascii="Arial" w:eastAsia="Times New Roman" w:hAnsi="Arial" w:cs="Arial"/>
            <w:color w:val="006699"/>
            <w:sz w:val="15"/>
            <w:szCs w:val="15"/>
            <w:vertAlign w:val="superscript"/>
            <w:lang w:val="en" w:eastAsia="en-ZA"/>
          </w:rPr>
          <w:t>1</w:t>
        </w:r>
      </w:hyperlink>
      <w:r w:rsidRPr="00DA1699">
        <w:rPr>
          <w:rFonts w:ascii="Arial" w:eastAsia="Times New Roman" w:hAnsi="Arial" w:cs="Arial"/>
          <w:sz w:val="15"/>
          <w:szCs w:val="15"/>
          <w:vertAlign w:val="superscript"/>
          <w:lang w:val="en" w:eastAsia="en-ZA"/>
        </w:rPr>
        <w:t>,</w:t>
      </w:r>
      <w:hyperlink r:id="rId34" w:anchor="ref3" w:tooltip="Betts, R. A., Cox, P. M., Lee, S. E. &amp; Woodward, F. I. Contrasting physiological and structural vegetation feedbacks in climate change simulations. Nature 387, 796–799 (1997)" w:history="1">
        <w:r w:rsidRPr="00DA1699">
          <w:rPr>
            <w:rFonts w:ascii="Arial" w:eastAsia="Times New Roman" w:hAnsi="Arial" w:cs="Arial"/>
            <w:color w:val="006699"/>
            <w:sz w:val="15"/>
            <w:szCs w:val="15"/>
            <w:vertAlign w:val="superscript"/>
            <w:lang w:val="en" w:eastAsia="en-ZA"/>
          </w:rPr>
          <w:t>3</w:t>
        </w:r>
      </w:hyperlink>
      <w:r w:rsidRPr="00DA1699">
        <w:rPr>
          <w:rFonts w:ascii="Arial" w:eastAsia="Times New Roman" w:hAnsi="Arial" w:cs="Arial"/>
          <w:sz w:val="15"/>
          <w:szCs w:val="15"/>
          <w:vertAlign w:val="superscript"/>
          <w:lang w:val="en" w:eastAsia="en-ZA"/>
        </w:rPr>
        <w:t>,</w:t>
      </w:r>
      <w:hyperlink r:id="rId35" w:anchor="ref4" w:tooltip="Cox, P. M. et al. The impact of new land surface physics on the GCM simulation of climate and climate sensitivity. Clim. Dyn. 15, 183–203 (1999)" w:history="1">
        <w:r w:rsidRPr="00DA1699">
          <w:rPr>
            <w:rFonts w:ascii="Arial" w:eastAsia="Times New Roman" w:hAnsi="Arial" w:cs="Arial"/>
            <w:color w:val="006699"/>
            <w:sz w:val="15"/>
            <w:szCs w:val="15"/>
            <w:vertAlign w:val="superscript"/>
            <w:lang w:val="en" w:eastAsia="en-ZA"/>
          </w:rPr>
          <w:t>4</w:t>
        </w:r>
      </w:hyperlink>
      <w:r w:rsidRPr="00DA1699">
        <w:rPr>
          <w:rFonts w:ascii="Arial" w:eastAsia="Times New Roman" w:hAnsi="Arial" w:cs="Arial"/>
          <w:sz w:val="15"/>
          <w:szCs w:val="15"/>
          <w:vertAlign w:val="superscript"/>
          <w:lang w:val="en" w:eastAsia="en-ZA"/>
        </w:rPr>
        <w:t>,</w:t>
      </w:r>
      <w:hyperlink r:id="rId36" w:anchor="ref5" w:tooltip="Hungate, B. A. et al. Evapotranspiration and soil water content in a scrub-oak woodland under carbon dioxide enrichment. Glob. Change Biol. 8, 289–298 (2002)" w:history="1">
        <w:r w:rsidRPr="00DA1699">
          <w:rPr>
            <w:rFonts w:ascii="Arial" w:eastAsia="Times New Roman" w:hAnsi="Arial" w:cs="Arial"/>
            <w:color w:val="006699"/>
            <w:sz w:val="15"/>
            <w:szCs w:val="15"/>
            <w:vertAlign w:val="superscript"/>
            <w:lang w:val="en" w:eastAsia="en-ZA"/>
          </w:rPr>
          <w:t>5</w:t>
        </w:r>
      </w:hyperlink>
      <w:r w:rsidRPr="00DA1699">
        <w:rPr>
          <w:rFonts w:ascii="Arial" w:eastAsia="Times New Roman" w:hAnsi="Arial" w:cs="Arial"/>
          <w:sz w:val="15"/>
          <w:szCs w:val="15"/>
          <w:vertAlign w:val="superscript"/>
          <w:lang w:val="en" w:eastAsia="en-ZA"/>
        </w:rPr>
        <w:t>,</w:t>
      </w:r>
      <w:hyperlink r:id="rId37" w:anchor="ref6" w:tooltip="Long, S. P., Ainsworth, E. A., Leakey, A. D. B., Nösberger, J. &amp; Ort, D. R. Food for thought: lower-than-expected crop yield stimulation with rising CO2 concentrations. Science 312, 1918–1921 (2006)" w:history="1">
        <w:r w:rsidRPr="00DA1699">
          <w:rPr>
            <w:rFonts w:ascii="Arial" w:eastAsia="Times New Roman" w:hAnsi="Arial" w:cs="Arial"/>
            <w:color w:val="006699"/>
            <w:sz w:val="15"/>
            <w:szCs w:val="15"/>
            <w:vertAlign w:val="superscript"/>
            <w:lang w:val="en" w:eastAsia="en-ZA"/>
          </w:rPr>
          <w:t>6</w:t>
        </w:r>
      </w:hyperlink>
      <w:r w:rsidRPr="00DA1699">
        <w:rPr>
          <w:rFonts w:ascii="Arial" w:eastAsia="Times New Roman" w:hAnsi="Arial" w:cs="Arial"/>
          <w:sz w:val="20"/>
          <w:szCs w:val="20"/>
          <w:lang w:val="en" w:eastAsia="en-ZA"/>
        </w:rPr>
        <w:t xml:space="preserve"> and thus leaves more water at the land surface</w:t>
      </w:r>
      <w:hyperlink r:id="rId38" w:anchor="ref7" w:tooltip="Wigley, T. M. L. &amp; Jones, P. D. Influences of precipitation changes and direct CO2 effects on streamflow. Nature 314, 149–152 (1985)" w:history="1">
        <w:r w:rsidRPr="00DA1699">
          <w:rPr>
            <w:rFonts w:ascii="Arial" w:eastAsia="Times New Roman" w:hAnsi="Arial" w:cs="Arial"/>
            <w:color w:val="006699"/>
            <w:sz w:val="15"/>
            <w:szCs w:val="15"/>
            <w:vertAlign w:val="superscript"/>
            <w:lang w:val="en" w:eastAsia="en-ZA"/>
          </w:rPr>
          <w:t>7</w:t>
        </w:r>
      </w:hyperlink>
      <w:r w:rsidRPr="00DA1699">
        <w:rPr>
          <w:rFonts w:ascii="Arial" w:eastAsia="Times New Roman" w:hAnsi="Arial" w:cs="Arial"/>
          <w:sz w:val="20"/>
          <w:szCs w:val="20"/>
          <w:lang w:val="en" w:eastAsia="en-ZA"/>
        </w:rPr>
        <w:t>. This driver of change in the climate system, which we term ‘physiological forcing’, has been detected in observational records of increasing average continental runoff over the twentieth century</w:t>
      </w:r>
      <w:hyperlink r:id="rId39" w:anchor="ref8" w:tooltip="Gedney, N. et al. Detection of a direct carbon dioxide effect in continental river runoff records. Nature 439, 835–838 (2006)" w:history="1">
        <w:r w:rsidRPr="00DA1699">
          <w:rPr>
            <w:rFonts w:ascii="Arial" w:eastAsia="Times New Roman" w:hAnsi="Arial" w:cs="Arial"/>
            <w:color w:val="006699"/>
            <w:sz w:val="15"/>
            <w:szCs w:val="15"/>
            <w:vertAlign w:val="superscript"/>
            <w:lang w:val="en" w:eastAsia="en-ZA"/>
          </w:rPr>
          <w:t>8</w:t>
        </w:r>
      </w:hyperlink>
      <w:r w:rsidRPr="00DA1699">
        <w:rPr>
          <w:rFonts w:ascii="Arial" w:eastAsia="Times New Roman" w:hAnsi="Arial" w:cs="Arial"/>
          <w:sz w:val="20"/>
          <w:szCs w:val="20"/>
          <w:lang w:val="en" w:eastAsia="en-ZA"/>
        </w:rPr>
        <w:t xml:space="preserve">. Here we use an ensemble of experiments with a global climate model that includes a vegetation component to assess the contribution of physiological forcing to future changes in continental runoff, in the context of uncertainties in future precipitation. </w:t>
      </w:r>
      <w:r w:rsidRPr="00DA1699">
        <w:rPr>
          <w:rFonts w:ascii="Arial" w:eastAsia="Times New Roman" w:hAnsi="Arial" w:cs="Arial"/>
          <w:sz w:val="20"/>
          <w:szCs w:val="20"/>
          <w:highlight w:val="yellow"/>
          <w:lang w:val="en" w:eastAsia="en-ZA"/>
        </w:rPr>
        <w:t>We find that the physiological effect of doubled carbon dioxide concentrations on plant transpiration increases simulated global mean runoff by 6 per cent relative to pre-industrial levels</w:t>
      </w:r>
      <w:r w:rsidRPr="00DA1699">
        <w:rPr>
          <w:rFonts w:ascii="Arial" w:eastAsia="Times New Roman" w:hAnsi="Arial" w:cs="Arial"/>
          <w:sz w:val="20"/>
          <w:szCs w:val="20"/>
          <w:lang w:val="en" w:eastAsia="en-ZA"/>
        </w:rPr>
        <w:t>; an increase that is comparable to that simulated in response to radiatively forced climate change (11 ± 6 per cent). Assessments of the effect of increasing carbon dioxide concentrations on the hydrological cycle that only consider radiative forcing</w:t>
      </w:r>
      <w:hyperlink r:id="rId40" w:anchor="ref9" w:tooltip="Arnell, N. et al. Hydrology and water resources. In Climate Change 2001: Impacts, Adaptation and Vulnerability. Contribution of Working Group II to the Third Assessment Report of the Intergovernmental Panel on Climate Change Ch.4 191–234 (Cambridge Univ. Press" w:history="1">
        <w:r w:rsidRPr="00DA1699">
          <w:rPr>
            <w:rFonts w:ascii="Arial" w:eastAsia="Times New Roman" w:hAnsi="Arial" w:cs="Arial"/>
            <w:color w:val="006699"/>
            <w:sz w:val="15"/>
            <w:szCs w:val="15"/>
            <w:vertAlign w:val="superscript"/>
            <w:lang w:val="en" w:eastAsia="en-ZA"/>
          </w:rPr>
          <w:t>9</w:t>
        </w:r>
      </w:hyperlink>
      <w:r w:rsidRPr="00DA1699">
        <w:rPr>
          <w:rFonts w:ascii="Arial" w:eastAsia="Times New Roman" w:hAnsi="Arial" w:cs="Arial"/>
          <w:sz w:val="15"/>
          <w:szCs w:val="15"/>
          <w:vertAlign w:val="superscript"/>
          <w:lang w:val="en" w:eastAsia="en-ZA"/>
        </w:rPr>
        <w:t>,</w:t>
      </w:r>
      <w:hyperlink r:id="rId41" w:anchor="ref10" w:tooltip="Warren, R. Impacts of global climate change at different annual mean global temperature increases. In Avoiding Dangerous Climate Change (eds Schellnhuber, H. J., Cramer, W., Nakicenovic, N., Wigley, T. &amp; Yohe, G.) Ch.11 93–100 (Cambridge Univ. Press, Cambridge" w:history="1">
        <w:r w:rsidRPr="00DA1699">
          <w:rPr>
            <w:rFonts w:ascii="Arial" w:eastAsia="Times New Roman" w:hAnsi="Arial" w:cs="Arial"/>
            <w:color w:val="006699"/>
            <w:sz w:val="15"/>
            <w:szCs w:val="15"/>
            <w:vertAlign w:val="superscript"/>
            <w:lang w:val="en" w:eastAsia="en-ZA"/>
          </w:rPr>
          <w:t>10</w:t>
        </w:r>
      </w:hyperlink>
      <w:r w:rsidRPr="00DA1699">
        <w:rPr>
          <w:rFonts w:ascii="Arial" w:eastAsia="Times New Roman" w:hAnsi="Arial" w:cs="Arial"/>
          <w:sz w:val="15"/>
          <w:szCs w:val="15"/>
          <w:vertAlign w:val="superscript"/>
          <w:lang w:val="en" w:eastAsia="en-ZA"/>
        </w:rPr>
        <w:t>,</w:t>
      </w:r>
      <w:hyperlink r:id="rId42" w:anchor="ref11" w:tooltip="De Wit, M. &amp; Stankiewicz, J. Changes in surface water supply across Africa with predicted climate change. Science 311, 1917–1921 (2006)" w:history="1">
        <w:r w:rsidRPr="00DA1699">
          <w:rPr>
            <w:rFonts w:ascii="Arial" w:eastAsia="Times New Roman" w:hAnsi="Arial" w:cs="Arial"/>
            <w:color w:val="006699"/>
            <w:sz w:val="15"/>
            <w:szCs w:val="15"/>
            <w:vertAlign w:val="superscript"/>
            <w:lang w:val="en" w:eastAsia="en-ZA"/>
          </w:rPr>
          <w:t>11</w:t>
        </w:r>
      </w:hyperlink>
      <w:r w:rsidRPr="00DA1699">
        <w:rPr>
          <w:rFonts w:ascii="Arial" w:eastAsia="Times New Roman" w:hAnsi="Arial" w:cs="Arial"/>
          <w:sz w:val="20"/>
          <w:szCs w:val="20"/>
          <w:lang w:val="en" w:eastAsia="en-ZA"/>
        </w:rPr>
        <w:t xml:space="preserve"> will therefore tend to </w:t>
      </w:r>
      <w:r w:rsidRPr="00DA1699">
        <w:rPr>
          <w:rFonts w:ascii="Arial" w:eastAsia="Times New Roman" w:hAnsi="Arial" w:cs="Arial"/>
          <w:sz w:val="20"/>
          <w:szCs w:val="20"/>
          <w:highlight w:val="yellow"/>
          <w:lang w:val="en" w:eastAsia="en-ZA"/>
        </w:rPr>
        <w:t>underestimate future increases in runoff</w:t>
      </w:r>
      <w:r w:rsidRPr="00DA1699">
        <w:rPr>
          <w:rFonts w:ascii="Arial" w:eastAsia="Times New Roman" w:hAnsi="Arial" w:cs="Arial"/>
          <w:sz w:val="20"/>
          <w:szCs w:val="20"/>
          <w:lang w:val="en" w:eastAsia="en-ZA"/>
        </w:rPr>
        <w:t xml:space="preserve"> and overestimate decreases. This suggests that freshwater resources may be less limited than previously assumed under scenarios of future global warming, although there is still an increased risk of drought. Moreover, our results highlight that the practice of assessing the climate-forcing potential of all greenhouse gases in terms of their radiative forcing potential relative to carbon dioxide does not accurately reflect the relative effects of different greenhouse gases on freshwater resources.</w:t>
      </w:r>
    </w:p>
    <w:p w14:paraId="51C4D560" w14:textId="62532850" w:rsidR="00397CB2" w:rsidRDefault="000C29B0" w:rsidP="00DA1699">
      <w:pPr>
        <w:spacing w:before="100" w:beforeAutospacing="1" w:after="100" w:afterAutospacing="1" w:line="240" w:lineRule="auto"/>
        <w:rPr>
          <w:rFonts w:ascii="Arial" w:eastAsia="Times New Roman" w:hAnsi="Arial" w:cs="Arial"/>
          <w:sz w:val="20"/>
          <w:szCs w:val="20"/>
          <w:lang w:val="en" w:eastAsia="en-ZA"/>
        </w:rPr>
      </w:pPr>
      <w:hyperlink r:id="rId43" w:history="1">
        <w:r w:rsidR="00397CB2" w:rsidRPr="004023B1">
          <w:rPr>
            <w:rStyle w:val="Hyperlink"/>
            <w:rFonts w:ascii="Arial" w:eastAsia="Times New Roman" w:hAnsi="Arial" w:cs="Arial"/>
            <w:sz w:val="20"/>
            <w:szCs w:val="20"/>
            <w:lang w:val="en" w:eastAsia="en-ZA"/>
          </w:rPr>
          <w:t>ftp://ftp.ncdc.noaa.gov/pub/data/sds/cdr/abstracts/2010/kato.pdf</w:t>
        </w:r>
      </w:hyperlink>
    </w:p>
    <w:p w14:paraId="065991F6" w14:textId="6C21A94B" w:rsidR="00397CB2" w:rsidRDefault="00397CB2" w:rsidP="00DA1699">
      <w:pPr>
        <w:spacing w:before="100" w:beforeAutospacing="1" w:after="100" w:afterAutospacing="1" w:line="240" w:lineRule="auto"/>
        <w:rPr>
          <w:rFonts w:ascii="Arial" w:eastAsia="Times New Roman" w:hAnsi="Arial" w:cs="Arial"/>
          <w:sz w:val="20"/>
          <w:szCs w:val="20"/>
          <w:lang w:val="en" w:eastAsia="en-ZA"/>
        </w:rPr>
      </w:pPr>
      <w:r>
        <w:rPr>
          <w:rFonts w:ascii="Arial" w:eastAsia="Times New Roman" w:hAnsi="Arial" w:cs="Arial"/>
          <w:sz w:val="20"/>
          <w:szCs w:val="20"/>
          <w:lang w:val="en" w:eastAsia="en-ZA"/>
        </w:rPr>
        <w:t>Need to dow</w:t>
      </w:r>
      <w:r w:rsidR="00603F86">
        <w:rPr>
          <w:rFonts w:ascii="Arial" w:eastAsia="Times New Roman" w:hAnsi="Arial" w:cs="Arial"/>
          <w:sz w:val="20"/>
          <w:szCs w:val="20"/>
          <w:lang w:val="en" w:eastAsia="en-ZA"/>
        </w:rPr>
        <w:t>nload:</w:t>
      </w:r>
    </w:p>
    <w:p w14:paraId="62689F99" w14:textId="0AE12584" w:rsidR="00603F86" w:rsidRDefault="00603F86" w:rsidP="00DA1699">
      <w:pPr>
        <w:spacing w:before="100" w:beforeAutospacing="1" w:after="100" w:afterAutospacing="1" w:line="240" w:lineRule="auto"/>
        <w:rPr>
          <w:rFonts w:ascii="Arial" w:eastAsia="Times New Roman" w:hAnsi="Arial" w:cs="Arial"/>
          <w:sz w:val="20"/>
          <w:szCs w:val="20"/>
          <w:lang w:val="en" w:eastAsia="en-ZA"/>
        </w:rPr>
      </w:pPr>
    </w:p>
    <w:p w14:paraId="1E6F034C" w14:textId="31503B5B" w:rsidR="00DD2225" w:rsidRDefault="000C29B0" w:rsidP="00DD2225">
      <w:pPr>
        <w:pStyle w:val="Default"/>
      </w:pPr>
      <w:hyperlink r:id="rId44" w:history="1">
        <w:r w:rsidR="00DD2225" w:rsidRPr="000B145F">
          <w:rPr>
            <w:rStyle w:val="Hyperlink"/>
          </w:rPr>
          <w:t>http://rnd.zednet.co.za/WRP_Marketing/Papers/2018/19th_SANCIAHS/Papers&amp;ExtendedAbastracts/Pitman_Droughts%20in%20Kruger%20Park.pdf</w:t>
        </w:r>
      </w:hyperlink>
    </w:p>
    <w:p w14:paraId="2A3F7A7D" w14:textId="6E01D8DD" w:rsidR="00663C99" w:rsidRDefault="00DD2225" w:rsidP="00DD2225">
      <w:pPr>
        <w:spacing w:before="100" w:beforeAutospacing="1" w:after="100" w:afterAutospacing="1" w:line="240" w:lineRule="auto"/>
        <w:rPr>
          <w:rFonts w:ascii="Arial" w:eastAsia="Times New Roman" w:hAnsi="Arial" w:cs="Arial"/>
          <w:sz w:val="20"/>
          <w:szCs w:val="20"/>
          <w:lang w:val="en" w:eastAsia="en-ZA"/>
        </w:rPr>
      </w:pPr>
      <w:r>
        <w:rPr>
          <w:b/>
          <w:bCs/>
          <w:sz w:val="23"/>
          <w:szCs w:val="23"/>
        </w:rPr>
        <w:t>DROUGHTS IN THE KRUGER NATIONAL PARK – ARE THEY GETTING WORSE</w:t>
      </w:r>
      <w:hyperlink r:id="rId45" w:history="1">
        <w:r w:rsidRPr="00DD2225">
          <w:rPr>
            <w:rStyle w:val="Hyperlink"/>
            <w:b/>
            <w:bCs/>
            <w:sz w:val="23"/>
            <w:szCs w:val="23"/>
          </w:rPr>
          <w:t>?</w:t>
        </w:r>
      </w:hyperlink>
    </w:p>
    <w:p w14:paraId="05F343BC" w14:textId="607A3353" w:rsidR="004440B7" w:rsidRDefault="004440B7" w:rsidP="00FD025A">
      <w:pPr>
        <w:spacing w:before="100" w:beforeAutospacing="1" w:after="100" w:afterAutospacing="1" w:line="240" w:lineRule="auto"/>
        <w:rPr>
          <w:rFonts w:ascii="Arial" w:eastAsia="Times New Roman" w:hAnsi="Arial" w:cs="Arial"/>
          <w:sz w:val="20"/>
          <w:szCs w:val="20"/>
          <w:lang w:val="en" w:eastAsia="en-ZA"/>
        </w:rPr>
      </w:pPr>
    </w:p>
    <w:p w14:paraId="4B0FE18D" w14:textId="1B031553" w:rsidR="004440B7" w:rsidRDefault="000C29B0" w:rsidP="00FD025A">
      <w:pPr>
        <w:spacing w:before="100" w:beforeAutospacing="1" w:after="100" w:afterAutospacing="1" w:line="240" w:lineRule="auto"/>
        <w:rPr>
          <w:rFonts w:ascii="Arial" w:eastAsia="Times New Roman" w:hAnsi="Arial" w:cs="Arial"/>
          <w:sz w:val="20"/>
          <w:szCs w:val="20"/>
          <w:lang w:val="en" w:eastAsia="en-ZA"/>
        </w:rPr>
      </w:pPr>
      <w:hyperlink r:id="rId46" w:history="1">
        <w:r w:rsidR="00ED0366" w:rsidRPr="004A3001">
          <w:rPr>
            <w:rStyle w:val="Hyperlink"/>
            <w:rFonts w:ascii="Arial" w:eastAsia="Times New Roman" w:hAnsi="Arial" w:cs="Arial"/>
            <w:sz w:val="20"/>
            <w:szCs w:val="20"/>
            <w:lang w:val="en" w:eastAsia="en-ZA"/>
          </w:rPr>
          <w:t>http://adsabs.harvard.edu/abs/2004AGUSM.A12A..05P</w:t>
        </w:r>
      </w:hyperlink>
    </w:p>
    <w:p w14:paraId="5C1A4F60" w14:textId="77777777" w:rsidR="00ED0366" w:rsidRDefault="00ED0366" w:rsidP="00FD025A">
      <w:pPr>
        <w:spacing w:before="100" w:beforeAutospacing="1" w:after="100" w:afterAutospacing="1" w:line="240" w:lineRule="auto"/>
        <w:rPr>
          <w:rFonts w:ascii="Arial" w:eastAsia="Times New Roman" w:hAnsi="Arial" w:cs="Arial"/>
          <w:sz w:val="20"/>
          <w:szCs w:val="20"/>
          <w:lang w:val="en" w:eastAsia="en-ZA"/>
        </w:rPr>
      </w:pPr>
    </w:p>
    <w:p w14:paraId="6E0BE6E6" w14:textId="77777777" w:rsidR="005D7DB1" w:rsidRDefault="005D7DB1" w:rsidP="005D7DB1">
      <w:pPr>
        <w:pStyle w:val="Heading1"/>
      </w:pPr>
      <w:r>
        <w:t>Trends in Solar Radiation Over South Africa and Namibia During the Period 1957-1997.</w:t>
      </w:r>
    </w:p>
    <w:p w14:paraId="59A5F1E6" w14:textId="77777777" w:rsidR="005D7DB1" w:rsidRDefault="000C29B0" w:rsidP="005D7DB1">
      <w:hyperlink r:id="rId47" w:history="1">
        <w:r w:rsidR="005D7DB1">
          <w:rPr>
            <w:rStyle w:val="Hyperlink"/>
          </w:rPr>
          <w:t>Power, H. C.</w:t>
        </w:r>
      </w:hyperlink>
      <w:r w:rsidR="005D7DB1">
        <w:t xml:space="preserve">; </w:t>
      </w:r>
      <w:hyperlink r:id="rId48" w:history="1">
        <w:r w:rsidR="005D7DB1">
          <w:rPr>
            <w:rStyle w:val="Hyperlink"/>
          </w:rPr>
          <w:t>Mills, D. M.</w:t>
        </w:r>
      </w:hyperlink>
    </w:p>
    <w:p w14:paraId="4E3DF792" w14:textId="77777777" w:rsidR="005D7DB1" w:rsidRDefault="005D7DB1" w:rsidP="005D7DB1">
      <w:r>
        <w:t>American Geophysical Union, Spring Meeting 2004, abstract id. A12A-05</w:t>
      </w:r>
    </w:p>
    <w:p w14:paraId="3A4F6EE9" w14:textId="77777777" w:rsidR="005D7DB1" w:rsidRDefault="005D7DB1" w:rsidP="005D7DB1">
      <w:r>
        <w:t>Spatial and temporal variability in global, diffuse, and horizontal direct irradiance and sunshine duration has been evaluated at ten stations in South Africa and two stations in Namibia where the time series range between 21 and 41 years. Global and direct irradiance and sunshine duration decrease from northwest to southeast; diffuse irradiance increases toward the east. Annually-averaged global irradiance (G</w:t>
      </w:r>
      <w:r>
        <w:rPr>
          <w:vertAlign w:val="subscript"/>
        </w:rPr>
        <w:t>a</w:t>
      </w:r>
      <w:r>
        <w:t>) increased significantly by 0.46% per decade at Pretoria and decreased between 1.26% and 1.72% per decade at Bloemfontein, Cape Town, Durban, and Upington. Annually-averaged diffuse irradiance (D</w:t>
      </w:r>
      <w:r>
        <w:rPr>
          <w:vertAlign w:val="subscript"/>
        </w:rPr>
        <w:t>a</w:t>
      </w:r>
      <w:r>
        <w:t xml:space="preserve">) decreased 5.20% per decade at </w:t>
      </w:r>
      <w:proofErr w:type="spellStart"/>
      <w:r>
        <w:t>Grootfontein</w:t>
      </w:r>
      <w:proofErr w:type="spellEnd"/>
      <w:r>
        <w:t xml:space="preserve"> and increased 2.51% per decade at Port Elizabeth. Annual direct irradiance (B</w:t>
      </w:r>
      <w:r>
        <w:rPr>
          <w:vertAlign w:val="subscript"/>
        </w:rPr>
        <w:t>a</w:t>
      </w:r>
      <w:r>
        <w:t>) decreased 2.10% per decade at Cape Town and 2.83% per decade at Alexander Bay. A simultaneous decrease in annually-averaged daily sunshine duration (S</w:t>
      </w:r>
      <w:r>
        <w:rPr>
          <w:vertAlign w:val="subscript"/>
        </w:rPr>
        <w:t>a</w:t>
      </w:r>
      <w:r>
        <w:t>) may have contributed to the decrease in B</w:t>
      </w:r>
      <w:r>
        <w:rPr>
          <w:vertAlign w:val="subscript"/>
        </w:rPr>
        <w:t>a</w:t>
      </w:r>
      <w:r>
        <w:t xml:space="preserve"> at Alexander Bay. Increases in aerosols may have contributed to the observed decrease in G</w:t>
      </w:r>
      <w:r>
        <w:rPr>
          <w:vertAlign w:val="subscript"/>
        </w:rPr>
        <w:t>a</w:t>
      </w:r>
      <w:r>
        <w:t xml:space="preserve"> at Cape Town and Durban, while the decrease in D</w:t>
      </w:r>
      <w:r>
        <w:rPr>
          <w:vertAlign w:val="subscript"/>
        </w:rPr>
        <w:t>a</w:t>
      </w:r>
      <w:r>
        <w:t xml:space="preserve"> at </w:t>
      </w:r>
      <w:proofErr w:type="spellStart"/>
      <w:r>
        <w:t>Grootfontein</w:t>
      </w:r>
      <w:proofErr w:type="spellEnd"/>
      <w:r>
        <w:t xml:space="preserve"> may be due to a decrease in aerosols. On average, variability in S</w:t>
      </w:r>
      <w:r>
        <w:rPr>
          <w:vertAlign w:val="subscript"/>
        </w:rPr>
        <w:t>a</w:t>
      </w:r>
      <w:r>
        <w:t xml:space="preserve"> explains 53.8%, 30.4%, and 48.8% of the variance in G</w:t>
      </w:r>
      <w:r>
        <w:rPr>
          <w:vertAlign w:val="subscript"/>
        </w:rPr>
        <w:t>a</w:t>
      </w:r>
      <w:r>
        <w:t>, D</w:t>
      </w:r>
      <w:r>
        <w:rPr>
          <w:vertAlign w:val="subscript"/>
        </w:rPr>
        <w:t>a</w:t>
      </w:r>
      <w:r>
        <w:t>, and B</w:t>
      </w:r>
      <w:r>
        <w:rPr>
          <w:vertAlign w:val="subscript"/>
        </w:rPr>
        <w:t>a</w:t>
      </w:r>
      <w:r>
        <w:t xml:space="preserve">, respectively. The radiative response to changes in sunshine duration is greater for direct irradiance than for global and diffuse. In the two years following the 1963 Mount Agung eruption in Indonesia, responses in global were small and inconsistent. At eight stations, diffuse irradiance increased 22.80% on average and direct irradiance decreased 8.93%. After the 1982 El </w:t>
      </w:r>
      <w:proofErr w:type="spellStart"/>
      <w:r>
        <w:t>Chichon</w:t>
      </w:r>
      <w:proofErr w:type="spellEnd"/>
      <w:r>
        <w:t xml:space="preserve"> eruption in Mexico, global irradiance increased at two stations and decreased at seven stations. Eight stations witnessed an increase in diffuse averaging 7.20% and an average decrease in direct of 4.96%. Following the 1991 Mount Pinatubo eruption in the Philippines, diffuse irradiance increased an average of 19.20% at three stations and direct decreased by 7.57%. </w:t>
      </w:r>
    </w:p>
    <w:p w14:paraId="7664FC77" w14:textId="1A4753B1" w:rsidR="00FD025A" w:rsidRDefault="00FD025A" w:rsidP="00FD025A">
      <w:pPr>
        <w:spacing w:before="100" w:beforeAutospacing="1" w:after="100" w:afterAutospacing="1" w:line="240" w:lineRule="auto"/>
        <w:rPr>
          <w:rFonts w:ascii="Arial" w:eastAsia="Times New Roman" w:hAnsi="Arial" w:cs="Arial"/>
          <w:sz w:val="20"/>
          <w:szCs w:val="20"/>
          <w:lang w:val="en" w:eastAsia="en-ZA"/>
        </w:rPr>
      </w:pPr>
    </w:p>
    <w:p w14:paraId="3D627771" w14:textId="058D0CD9" w:rsidR="00DF2124" w:rsidRDefault="00DF2124" w:rsidP="00FD025A">
      <w:pPr>
        <w:spacing w:before="100" w:beforeAutospacing="1" w:after="100" w:afterAutospacing="1" w:line="240" w:lineRule="auto"/>
        <w:rPr>
          <w:rFonts w:ascii="Arial" w:eastAsia="Times New Roman" w:hAnsi="Arial" w:cs="Arial"/>
          <w:sz w:val="20"/>
          <w:szCs w:val="20"/>
          <w:lang w:val="en" w:eastAsia="en-ZA"/>
        </w:rPr>
      </w:pPr>
    </w:p>
    <w:p w14:paraId="0F329416" w14:textId="07E53ACA" w:rsidR="00DF2124" w:rsidRDefault="000C29B0" w:rsidP="00FD025A">
      <w:pPr>
        <w:spacing w:before="100" w:beforeAutospacing="1" w:after="100" w:afterAutospacing="1" w:line="240" w:lineRule="auto"/>
        <w:rPr>
          <w:rFonts w:ascii="Arial" w:eastAsia="Times New Roman" w:hAnsi="Arial" w:cs="Arial"/>
          <w:sz w:val="20"/>
          <w:szCs w:val="20"/>
          <w:lang w:val="en" w:eastAsia="en-ZA"/>
        </w:rPr>
      </w:pPr>
      <w:hyperlink r:id="rId49" w:history="1">
        <w:r w:rsidR="00DF2124" w:rsidRPr="004A3001">
          <w:rPr>
            <w:rStyle w:val="Hyperlink"/>
            <w:rFonts w:ascii="Arial" w:eastAsia="Times New Roman" w:hAnsi="Arial" w:cs="Arial"/>
            <w:sz w:val="20"/>
            <w:szCs w:val="20"/>
            <w:lang w:val="en" w:eastAsia="en-ZA"/>
          </w:rPr>
          <w:t>http://www.scielo.org.za/scielo.php?script=sci_arttext&amp;pid=S1021-447X2017000200005</w:t>
        </w:r>
      </w:hyperlink>
    </w:p>
    <w:p w14:paraId="6A17D15B" w14:textId="77777777" w:rsidR="0096390E" w:rsidRDefault="0096390E" w:rsidP="00FD025A">
      <w:pPr>
        <w:spacing w:before="100" w:beforeAutospacing="1" w:after="100" w:afterAutospacing="1" w:line="240" w:lineRule="auto"/>
        <w:rPr>
          <w:rFonts w:ascii="Arial" w:eastAsia="Times New Roman" w:hAnsi="Arial" w:cs="Arial"/>
          <w:sz w:val="20"/>
          <w:szCs w:val="20"/>
          <w:lang w:val="en" w:eastAsia="en-ZA"/>
        </w:rPr>
      </w:pPr>
    </w:p>
    <w:p w14:paraId="52D2CD5D" w14:textId="1E57E02D" w:rsidR="00DF2124" w:rsidRDefault="00AF61ED" w:rsidP="00FD025A">
      <w:pPr>
        <w:spacing w:before="100" w:beforeAutospacing="1" w:after="100" w:afterAutospacing="1" w:line="240" w:lineRule="auto"/>
        <w:rPr>
          <w:rFonts w:ascii="Arial" w:eastAsia="Times New Roman" w:hAnsi="Arial" w:cs="Arial"/>
          <w:sz w:val="20"/>
          <w:szCs w:val="20"/>
          <w:lang w:val="en" w:eastAsia="en-ZA"/>
        </w:rPr>
      </w:pPr>
      <w:bookmarkStart w:id="0" w:name="top"/>
      <w:bookmarkEnd w:id="0"/>
      <w:r>
        <w:rPr>
          <w:rFonts w:ascii="Verdana" w:hAnsi="Verdana"/>
          <w:b/>
          <w:bCs/>
          <w:sz w:val="27"/>
          <w:szCs w:val="27"/>
        </w:rPr>
        <w:t>Is the summer season losing potential for solar energy applications in South Africa?</w:t>
      </w:r>
    </w:p>
    <w:p w14:paraId="3C8B57BC" w14:textId="77777777" w:rsidR="0022258D" w:rsidRDefault="0022258D" w:rsidP="0022258D">
      <w:pPr>
        <w:pStyle w:val="NormalWeb"/>
        <w:rPr>
          <w:rFonts w:ascii="Verdana" w:hAnsi="Verdana"/>
          <w:sz w:val="19"/>
          <w:szCs w:val="19"/>
        </w:rPr>
      </w:pPr>
      <w:r>
        <w:rPr>
          <w:rFonts w:ascii="Verdana" w:hAnsi="Verdana"/>
          <w:b/>
          <w:bCs/>
          <w:sz w:val="20"/>
          <w:szCs w:val="20"/>
        </w:rPr>
        <w:t xml:space="preserve">Jyotsna </w:t>
      </w:r>
      <w:proofErr w:type="spellStart"/>
      <w:r>
        <w:rPr>
          <w:rFonts w:ascii="Verdana" w:hAnsi="Verdana"/>
          <w:b/>
          <w:bCs/>
          <w:sz w:val="20"/>
          <w:szCs w:val="20"/>
        </w:rPr>
        <w:t>Singh</w:t>
      </w:r>
      <w:r>
        <w:rPr>
          <w:rFonts w:ascii="Verdana" w:hAnsi="Verdana"/>
          <w:b/>
          <w:bCs/>
          <w:sz w:val="20"/>
          <w:szCs w:val="20"/>
          <w:vertAlign w:val="superscript"/>
        </w:rPr>
        <w:t>I</w:t>
      </w:r>
      <w:proofErr w:type="spellEnd"/>
      <w:r>
        <w:rPr>
          <w:rFonts w:ascii="Verdana" w:hAnsi="Verdana"/>
          <w:b/>
          <w:bCs/>
          <w:sz w:val="20"/>
          <w:szCs w:val="20"/>
          <w:vertAlign w:val="superscript"/>
        </w:rPr>
        <w:t xml:space="preserve">, </w:t>
      </w:r>
      <w:hyperlink r:id="rId50" w:anchor="back" w:history="1">
        <w:r>
          <w:rPr>
            <w:rStyle w:val="Hyperlink"/>
            <w:rFonts w:ascii="Verdana" w:hAnsi="Verdana"/>
            <w:b/>
            <w:bCs/>
            <w:sz w:val="20"/>
            <w:szCs w:val="20"/>
            <w:vertAlign w:val="superscript"/>
          </w:rPr>
          <w:t>*</w:t>
        </w:r>
      </w:hyperlink>
      <w:r>
        <w:rPr>
          <w:rFonts w:ascii="Verdana" w:hAnsi="Verdana"/>
          <w:b/>
          <w:bCs/>
          <w:sz w:val="20"/>
          <w:szCs w:val="20"/>
          <w:vertAlign w:val="superscript"/>
        </w:rPr>
        <w:t xml:space="preserve"> </w:t>
      </w:r>
      <w:r>
        <w:rPr>
          <w:rFonts w:ascii="Verdana" w:hAnsi="Verdana"/>
          <w:b/>
          <w:bCs/>
          <w:sz w:val="20"/>
          <w:szCs w:val="20"/>
        </w:rPr>
        <w:t xml:space="preserve">; </w:t>
      </w:r>
      <w:proofErr w:type="spellStart"/>
      <w:r>
        <w:rPr>
          <w:rFonts w:ascii="Verdana" w:hAnsi="Verdana"/>
          <w:b/>
          <w:bCs/>
          <w:sz w:val="20"/>
          <w:szCs w:val="20"/>
        </w:rPr>
        <w:t>Andries</w:t>
      </w:r>
      <w:proofErr w:type="spellEnd"/>
      <w:r>
        <w:rPr>
          <w:rFonts w:ascii="Verdana" w:hAnsi="Verdana"/>
          <w:b/>
          <w:bCs/>
          <w:sz w:val="20"/>
          <w:szCs w:val="20"/>
        </w:rPr>
        <w:t xml:space="preserve"> </w:t>
      </w:r>
      <w:proofErr w:type="spellStart"/>
      <w:r>
        <w:rPr>
          <w:rFonts w:ascii="Verdana" w:hAnsi="Verdana"/>
          <w:b/>
          <w:bCs/>
          <w:sz w:val="20"/>
          <w:szCs w:val="20"/>
        </w:rPr>
        <w:t>Kruger</w:t>
      </w:r>
      <w:r>
        <w:rPr>
          <w:rFonts w:ascii="Verdana" w:hAnsi="Verdana"/>
          <w:b/>
          <w:bCs/>
          <w:sz w:val="20"/>
          <w:szCs w:val="20"/>
          <w:vertAlign w:val="superscript"/>
        </w:rPr>
        <w:t>I</w:t>
      </w:r>
      <w:proofErr w:type="spellEnd"/>
      <w:r>
        <w:rPr>
          <w:rFonts w:ascii="Verdana" w:hAnsi="Verdana"/>
          <w:b/>
          <w:bCs/>
          <w:sz w:val="20"/>
          <w:szCs w:val="20"/>
          <w:vertAlign w:val="superscript"/>
        </w:rPr>
        <w:t>, II</w:t>
      </w:r>
    </w:p>
    <w:p w14:paraId="48B19958" w14:textId="77777777" w:rsidR="0022258D" w:rsidRDefault="0022258D" w:rsidP="0022258D">
      <w:pPr>
        <w:pStyle w:val="NormalWeb"/>
        <w:rPr>
          <w:rFonts w:ascii="Verdana" w:hAnsi="Verdana"/>
          <w:sz w:val="19"/>
          <w:szCs w:val="19"/>
        </w:rPr>
      </w:pPr>
      <w:proofErr w:type="spellStart"/>
      <w:r>
        <w:rPr>
          <w:rFonts w:ascii="Verdana" w:hAnsi="Verdana"/>
          <w:sz w:val="20"/>
          <w:szCs w:val="20"/>
          <w:vertAlign w:val="superscript"/>
        </w:rPr>
        <w:lastRenderedPageBreak/>
        <w:t>I</w:t>
      </w:r>
      <w:r>
        <w:rPr>
          <w:rFonts w:ascii="Verdana" w:hAnsi="Verdana"/>
          <w:sz w:val="20"/>
          <w:szCs w:val="20"/>
        </w:rPr>
        <w:t>South</w:t>
      </w:r>
      <w:proofErr w:type="spellEnd"/>
      <w:r>
        <w:rPr>
          <w:rFonts w:ascii="Verdana" w:hAnsi="Verdana"/>
          <w:sz w:val="20"/>
          <w:szCs w:val="20"/>
        </w:rPr>
        <w:t xml:space="preserve"> African Weather Service, 442 Rigel Avenue South, </w:t>
      </w:r>
      <w:proofErr w:type="spellStart"/>
      <w:r>
        <w:rPr>
          <w:rFonts w:ascii="Verdana" w:hAnsi="Verdana"/>
          <w:sz w:val="20"/>
          <w:szCs w:val="20"/>
        </w:rPr>
        <w:t>Erasmusrand</w:t>
      </w:r>
      <w:proofErr w:type="spellEnd"/>
      <w:r>
        <w:rPr>
          <w:rFonts w:ascii="Verdana" w:hAnsi="Verdana"/>
          <w:sz w:val="20"/>
          <w:szCs w:val="20"/>
        </w:rPr>
        <w:t xml:space="preserve">, Pretoria 0181, South Africa </w:t>
      </w:r>
      <w:r>
        <w:rPr>
          <w:rFonts w:ascii="Verdana" w:hAnsi="Verdana"/>
          <w:sz w:val="20"/>
          <w:szCs w:val="20"/>
        </w:rPr>
        <w:br/>
      </w:r>
      <w:proofErr w:type="spellStart"/>
      <w:r>
        <w:rPr>
          <w:rFonts w:ascii="Verdana" w:hAnsi="Verdana"/>
          <w:sz w:val="20"/>
          <w:szCs w:val="20"/>
          <w:vertAlign w:val="superscript"/>
        </w:rPr>
        <w:t>II</w:t>
      </w:r>
      <w:r>
        <w:rPr>
          <w:rFonts w:ascii="Verdana" w:hAnsi="Verdana"/>
          <w:sz w:val="20"/>
          <w:szCs w:val="20"/>
        </w:rPr>
        <w:t>Department</w:t>
      </w:r>
      <w:proofErr w:type="spellEnd"/>
      <w:r>
        <w:rPr>
          <w:rFonts w:ascii="Verdana" w:hAnsi="Verdana"/>
          <w:sz w:val="20"/>
          <w:szCs w:val="20"/>
        </w:rPr>
        <w:t xml:space="preserve"> of Geography, Geoinformatics and Meteorology, University of Pretoria, Private Bag X20, Hatfield 0028, Pretoria, South Africa</w:t>
      </w:r>
    </w:p>
    <w:p w14:paraId="60549AD6" w14:textId="77777777" w:rsidR="0022258D" w:rsidRDefault="0022258D" w:rsidP="0022258D">
      <w:pPr>
        <w:pStyle w:val="NormalWeb"/>
        <w:rPr>
          <w:rFonts w:ascii="Verdana" w:hAnsi="Verdana"/>
          <w:sz w:val="19"/>
          <w:szCs w:val="19"/>
        </w:rPr>
      </w:pPr>
      <w:r>
        <w:rPr>
          <w:rFonts w:ascii="Verdana" w:hAnsi="Verdana"/>
          <w:sz w:val="19"/>
          <w:szCs w:val="19"/>
        </w:rPr>
        <w:t> </w:t>
      </w:r>
    </w:p>
    <w:p w14:paraId="28C4E3BA" w14:textId="77777777" w:rsidR="0022258D" w:rsidRDefault="0022258D" w:rsidP="0022258D">
      <w:pPr>
        <w:pStyle w:val="NormalWeb"/>
        <w:rPr>
          <w:rFonts w:ascii="Verdana" w:hAnsi="Verdana"/>
          <w:sz w:val="19"/>
          <w:szCs w:val="19"/>
        </w:rPr>
      </w:pPr>
      <w:r>
        <w:rPr>
          <w:rFonts w:ascii="Verdana" w:hAnsi="Verdana"/>
          <w:sz w:val="19"/>
          <w:szCs w:val="19"/>
        </w:rPr>
        <w:t> </w:t>
      </w:r>
    </w:p>
    <w:p w14:paraId="24612433" w14:textId="77777777" w:rsidR="0022258D" w:rsidRDefault="000C29B0" w:rsidP="0022258D">
      <w:pPr>
        <w:rPr>
          <w:rFonts w:ascii="Verdana" w:hAnsi="Verdana"/>
          <w:sz w:val="20"/>
          <w:szCs w:val="20"/>
        </w:rPr>
      </w:pPr>
      <w:r>
        <w:rPr>
          <w:rFonts w:ascii="Verdana" w:hAnsi="Verdana"/>
          <w:sz w:val="20"/>
          <w:szCs w:val="20"/>
        </w:rPr>
        <w:pict w14:anchorId="0995E08B">
          <v:rect id="_x0000_i1025" style="width:0;height:.6pt" o:hralign="center" o:hrstd="t" o:hrnoshade="t" o:hr="t" fillcolor="#a0a0a0" stroked="f"/>
        </w:pict>
      </w:r>
    </w:p>
    <w:p w14:paraId="3DB672E6" w14:textId="77777777" w:rsidR="0022258D" w:rsidRDefault="0022258D" w:rsidP="0022258D">
      <w:pPr>
        <w:pStyle w:val="NormalWeb"/>
        <w:rPr>
          <w:rFonts w:ascii="Verdana" w:hAnsi="Verdana"/>
          <w:sz w:val="19"/>
          <w:szCs w:val="19"/>
        </w:rPr>
      </w:pPr>
      <w:r>
        <w:rPr>
          <w:rFonts w:ascii="Verdana" w:hAnsi="Verdana"/>
          <w:b/>
          <w:bCs/>
          <w:sz w:val="20"/>
          <w:szCs w:val="20"/>
        </w:rPr>
        <w:t>ABSTRACT</w:t>
      </w:r>
    </w:p>
    <w:p w14:paraId="1B62A824" w14:textId="77777777" w:rsidR="0022258D" w:rsidRDefault="0022258D" w:rsidP="0022258D">
      <w:pPr>
        <w:pStyle w:val="NormalWeb"/>
        <w:rPr>
          <w:rFonts w:ascii="Verdana" w:hAnsi="Verdana"/>
          <w:sz w:val="19"/>
          <w:szCs w:val="19"/>
        </w:rPr>
      </w:pPr>
      <w:r>
        <w:rPr>
          <w:rFonts w:ascii="Verdana" w:hAnsi="Verdana"/>
          <w:sz w:val="20"/>
          <w:szCs w:val="20"/>
        </w:rPr>
        <w:t xml:space="preserve">Seasonal trends using in situ </w:t>
      </w:r>
      <w:r w:rsidRPr="00B4710C">
        <w:rPr>
          <w:rFonts w:ascii="Verdana" w:hAnsi="Verdana"/>
          <w:sz w:val="20"/>
          <w:szCs w:val="20"/>
          <w:highlight w:val="yellow"/>
        </w:rPr>
        <w:t>sunshine duration</w:t>
      </w:r>
      <w:r>
        <w:rPr>
          <w:rFonts w:ascii="Verdana" w:hAnsi="Verdana"/>
          <w:sz w:val="20"/>
          <w:szCs w:val="20"/>
        </w:rPr>
        <w:t xml:space="preserve"> (SD) and satellite, incoming </w:t>
      </w:r>
      <w:r w:rsidRPr="00824C10">
        <w:rPr>
          <w:rFonts w:ascii="Verdana" w:hAnsi="Verdana"/>
          <w:sz w:val="20"/>
          <w:szCs w:val="20"/>
          <w:highlight w:val="yellow"/>
        </w:rPr>
        <w:t>shortwave solar radiation</w:t>
      </w:r>
      <w:r>
        <w:rPr>
          <w:rFonts w:ascii="Verdana" w:hAnsi="Verdana"/>
          <w:sz w:val="20"/>
          <w:szCs w:val="20"/>
        </w:rPr>
        <w:t xml:space="preserve"> (SIS) data for South Africa over a period up to six decades were investigated. Trend analysis was applied to SD data of 22 sunshine-recording stations from the South African Weather Service that cover the length and breadth of South Africa. Satellite application facility on climate monitoring provided the high-resolution derived SIS for the period 1983-2013. </w:t>
      </w:r>
      <w:proofErr w:type="gramStart"/>
      <w:r>
        <w:rPr>
          <w:rFonts w:ascii="Verdana" w:hAnsi="Verdana"/>
          <w:sz w:val="20"/>
          <w:szCs w:val="20"/>
        </w:rPr>
        <w:t>A number of</w:t>
      </w:r>
      <w:proofErr w:type="gramEnd"/>
      <w:r>
        <w:rPr>
          <w:rFonts w:ascii="Verdana" w:hAnsi="Verdana"/>
          <w:sz w:val="20"/>
          <w:szCs w:val="20"/>
        </w:rPr>
        <w:t xml:space="preserve"> stations show a statistically significant decreasing trend in SD in all four seasons on a seasonal scale. Declines (number of stations showing significant trend) in SD at 17(7), 8(3), 7(3) and 3(0) stations, were observed for summer, autumn, winter and spring, respectively. The SIS has also shown a decreasing trend over South Africa in most of the regions during the summer season followed by autumn. The results indicated a general tendency of decrease in incoming solar radiation mostly during summer which could be of some concern for solar energy applications.</w:t>
      </w:r>
    </w:p>
    <w:p w14:paraId="32D9249A" w14:textId="77777777" w:rsidR="0022258D" w:rsidRDefault="0022258D" w:rsidP="0022258D">
      <w:pPr>
        <w:pStyle w:val="NormalWeb"/>
        <w:rPr>
          <w:rFonts w:ascii="Verdana" w:hAnsi="Verdana"/>
          <w:sz w:val="19"/>
          <w:szCs w:val="19"/>
        </w:rPr>
      </w:pPr>
      <w:r>
        <w:rPr>
          <w:rFonts w:ascii="Verdana" w:hAnsi="Verdana"/>
          <w:b/>
          <w:bCs/>
          <w:sz w:val="20"/>
          <w:szCs w:val="20"/>
        </w:rPr>
        <w:t>Keywords</w:t>
      </w:r>
      <w:r>
        <w:rPr>
          <w:rFonts w:ascii="Verdana" w:hAnsi="Verdana"/>
          <w:sz w:val="20"/>
          <w:szCs w:val="20"/>
        </w:rPr>
        <w:t>: in situ data, sunshine duration, shortwave solar radiation, satellite data, climate trends, solar energy</w:t>
      </w:r>
    </w:p>
    <w:p w14:paraId="4F5DF246" w14:textId="77777777" w:rsidR="0022258D" w:rsidRDefault="000C29B0" w:rsidP="0022258D">
      <w:pPr>
        <w:rPr>
          <w:rFonts w:ascii="Verdana" w:hAnsi="Verdana"/>
          <w:sz w:val="20"/>
          <w:szCs w:val="20"/>
        </w:rPr>
      </w:pPr>
      <w:r>
        <w:rPr>
          <w:rFonts w:ascii="Verdana" w:hAnsi="Verdana"/>
          <w:sz w:val="20"/>
          <w:szCs w:val="20"/>
        </w:rPr>
        <w:pict w14:anchorId="55D3E1D4">
          <v:rect id="_x0000_i1026" style="width:0;height:.6pt" o:hralign="center" o:hrstd="t" o:hrnoshade="t" o:hr="t" fillcolor="#a0a0a0" stroked="f"/>
        </w:pict>
      </w:r>
    </w:p>
    <w:p w14:paraId="62244876" w14:textId="77777777" w:rsidR="0022258D" w:rsidRDefault="0022258D" w:rsidP="0022258D">
      <w:pPr>
        <w:pStyle w:val="NormalWeb"/>
        <w:rPr>
          <w:rFonts w:ascii="Verdana" w:hAnsi="Verdana"/>
          <w:sz w:val="19"/>
          <w:szCs w:val="19"/>
        </w:rPr>
      </w:pPr>
      <w:r>
        <w:rPr>
          <w:rFonts w:ascii="Verdana" w:hAnsi="Verdana"/>
          <w:sz w:val="19"/>
          <w:szCs w:val="19"/>
        </w:rPr>
        <w:t> </w:t>
      </w:r>
    </w:p>
    <w:p w14:paraId="24FCB953" w14:textId="77777777" w:rsidR="0022258D" w:rsidRDefault="0022258D" w:rsidP="0022258D">
      <w:pPr>
        <w:pStyle w:val="NormalWeb"/>
        <w:rPr>
          <w:rFonts w:ascii="Verdana" w:hAnsi="Verdana"/>
          <w:sz w:val="19"/>
          <w:szCs w:val="19"/>
        </w:rPr>
      </w:pPr>
      <w:r>
        <w:rPr>
          <w:rFonts w:ascii="Verdana" w:hAnsi="Verdana"/>
          <w:sz w:val="19"/>
          <w:szCs w:val="19"/>
        </w:rPr>
        <w:t> </w:t>
      </w:r>
    </w:p>
    <w:p w14:paraId="0E5E728E" w14:textId="77777777" w:rsidR="0022258D" w:rsidRDefault="0022258D" w:rsidP="0022258D">
      <w:pPr>
        <w:pStyle w:val="NormalWeb"/>
        <w:rPr>
          <w:rFonts w:ascii="Verdana" w:hAnsi="Verdana"/>
          <w:sz w:val="19"/>
          <w:szCs w:val="19"/>
        </w:rPr>
      </w:pPr>
      <w:r>
        <w:rPr>
          <w:rFonts w:ascii="Verdana" w:hAnsi="Verdana"/>
          <w:b/>
          <w:bCs/>
        </w:rPr>
        <w:t>1. Introduction</w:t>
      </w:r>
    </w:p>
    <w:p w14:paraId="585D7D6A" w14:textId="77777777" w:rsidR="0022258D" w:rsidRDefault="0022258D" w:rsidP="0022258D">
      <w:pPr>
        <w:pStyle w:val="NormalWeb"/>
        <w:rPr>
          <w:rFonts w:ascii="Verdana" w:hAnsi="Verdana"/>
          <w:sz w:val="19"/>
          <w:szCs w:val="19"/>
        </w:rPr>
      </w:pPr>
      <w:r>
        <w:rPr>
          <w:rFonts w:ascii="Verdana" w:hAnsi="Verdana"/>
          <w:sz w:val="20"/>
          <w:szCs w:val="20"/>
        </w:rPr>
        <w:t xml:space="preserve">Solar radiation data analyses across the world revealed that there was a decline in solar radiation from the 1950s to the 1990s (Singh et al., 2016; Wild, 2009). In South Africa also, studies by Singh, 2016 (1980s to 2000s) and Power and Mills, 2004 (1957 to 1997) indicated a decline in solar radiation. Air pollutants like atmospheric aerosols </w:t>
      </w:r>
      <w:proofErr w:type="gramStart"/>
      <w:r>
        <w:rPr>
          <w:rFonts w:ascii="Verdana" w:hAnsi="Verdana"/>
          <w:sz w:val="20"/>
          <w:szCs w:val="20"/>
        </w:rPr>
        <w:t>were considered to be</w:t>
      </w:r>
      <w:proofErr w:type="gramEnd"/>
      <w:r>
        <w:rPr>
          <w:rFonts w:ascii="Verdana" w:hAnsi="Verdana"/>
          <w:sz w:val="20"/>
          <w:szCs w:val="20"/>
        </w:rPr>
        <w:t xml:space="preserve"> one of the main reasons for this decline (Streets et al., 2006). Air pollution is one form of environmental pollution that is arguably the greatest problem the world is currently facing. The use of fossil fuels makes a paramount contribution to environmental pollution, including in South Africa, and many countries are now focusing on cleaner energy resources, in an endeavour to solve the issues of environmental pollution. South Africa showed a 37% increase in renewable energy consumption from 1990 to 2010, but the consumption of renewables was higher in some other African countries in 2010 (</w:t>
      </w:r>
      <w:proofErr w:type="spellStart"/>
      <w:r>
        <w:rPr>
          <w:rFonts w:ascii="Verdana" w:hAnsi="Verdana"/>
          <w:sz w:val="20"/>
          <w:szCs w:val="20"/>
        </w:rPr>
        <w:t>Nakumuryango</w:t>
      </w:r>
      <w:proofErr w:type="spellEnd"/>
      <w:r>
        <w:rPr>
          <w:rFonts w:ascii="Verdana" w:hAnsi="Verdana"/>
          <w:sz w:val="20"/>
          <w:szCs w:val="20"/>
        </w:rPr>
        <w:t xml:space="preserve"> and </w:t>
      </w:r>
      <w:proofErr w:type="spellStart"/>
      <w:r>
        <w:rPr>
          <w:rFonts w:ascii="Verdana" w:hAnsi="Verdana"/>
          <w:sz w:val="20"/>
          <w:szCs w:val="20"/>
        </w:rPr>
        <w:t>Inglesi-Lotz</w:t>
      </w:r>
      <w:proofErr w:type="spellEnd"/>
      <w:r>
        <w:rPr>
          <w:rFonts w:ascii="Verdana" w:hAnsi="Verdana"/>
          <w:sz w:val="20"/>
          <w:szCs w:val="20"/>
        </w:rPr>
        <w:t>, 2016).</w:t>
      </w:r>
    </w:p>
    <w:p w14:paraId="15A11E75" w14:textId="77777777" w:rsidR="0022258D" w:rsidRDefault="0022258D" w:rsidP="0022258D">
      <w:pPr>
        <w:pStyle w:val="NormalWeb"/>
        <w:rPr>
          <w:rFonts w:ascii="Verdana" w:hAnsi="Verdana"/>
          <w:sz w:val="19"/>
          <w:szCs w:val="19"/>
        </w:rPr>
      </w:pPr>
      <w:r>
        <w:rPr>
          <w:rFonts w:ascii="Verdana" w:hAnsi="Verdana"/>
          <w:sz w:val="20"/>
          <w:szCs w:val="20"/>
        </w:rPr>
        <w:t xml:space="preserve">Research and development in the field of renewable energy will help to find ways of increasing renewable energy consumption. </w:t>
      </w:r>
      <w:proofErr w:type="spellStart"/>
      <w:r>
        <w:rPr>
          <w:rFonts w:ascii="Verdana" w:hAnsi="Verdana"/>
          <w:sz w:val="20"/>
          <w:szCs w:val="20"/>
        </w:rPr>
        <w:t>Dresselhaus</w:t>
      </w:r>
      <w:proofErr w:type="spellEnd"/>
      <w:r>
        <w:rPr>
          <w:rFonts w:ascii="Verdana" w:hAnsi="Verdana"/>
          <w:sz w:val="20"/>
          <w:szCs w:val="20"/>
        </w:rPr>
        <w:t xml:space="preserve"> and Thomas (2001) explained the alternative energy technologies that can be used to meet the world's energy demand. Solar energy is a freely available energy resource, and indirectly the source for </w:t>
      </w:r>
      <w:r>
        <w:rPr>
          <w:rFonts w:ascii="Verdana" w:hAnsi="Verdana"/>
          <w:sz w:val="20"/>
          <w:szCs w:val="20"/>
        </w:rPr>
        <w:lastRenderedPageBreak/>
        <w:t>all the other types of energy (e.g. wind, hydro and biomass energy) on earth. Most solar energy-related studies require three solar radiation parameters: global horizontal irradiance (GHI), direct normal irradiance (DNI) and diffuse horizontal irradiance (DHI) (</w:t>
      </w:r>
      <w:proofErr w:type="spellStart"/>
      <w:r>
        <w:rPr>
          <w:rFonts w:ascii="Verdana" w:hAnsi="Verdana"/>
          <w:sz w:val="20"/>
          <w:szCs w:val="20"/>
        </w:rPr>
        <w:t>Gauché</w:t>
      </w:r>
      <w:proofErr w:type="spellEnd"/>
      <w:r>
        <w:rPr>
          <w:rFonts w:ascii="Verdana" w:hAnsi="Verdana"/>
          <w:sz w:val="20"/>
          <w:szCs w:val="20"/>
        </w:rPr>
        <w:t xml:space="preserve"> et al., 2017; Martin-Pomares et al., 2017; Perez-</w:t>
      </w:r>
      <w:proofErr w:type="spellStart"/>
      <w:r>
        <w:rPr>
          <w:rFonts w:ascii="Verdana" w:hAnsi="Verdana"/>
          <w:sz w:val="20"/>
          <w:szCs w:val="20"/>
        </w:rPr>
        <w:t>Astudillo</w:t>
      </w:r>
      <w:proofErr w:type="spellEnd"/>
      <w:r>
        <w:rPr>
          <w:rFonts w:ascii="Verdana" w:hAnsi="Verdana"/>
          <w:sz w:val="20"/>
          <w:szCs w:val="20"/>
        </w:rPr>
        <w:t xml:space="preserve"> and </w:t>
      </w:r>
      <w:proofErr w:type="spellStart"/>
      <w:r>
        <w:rPr>
          <w:rFonts w:ascii="Verdana" w:hAnsi="Verdana"/>
          <w:sz w:val="20"/>
          <w:szCs w:val="20"/>
        </w:rPr>
        <w:t>Bachour</w:t>
      </w:r>
      <w:proofErr w:type="spellEnd"/>
      <w:r>
        <w:rPr>
          <w:rFonts w:ascii="Verdana" w:hAnsi="Verdana"/>
          <w:sz w:val="20"/>
          <w:szCs w:val="20"/>
        </w:rPr>
        <w:t xml:space="preserve">, 2014). Different types of radiometric instruments - such as </w:t>
      </w:r>
      <w:proofErr w:type="spellStart"/>
      <w:r>
        <w:rPr>
          <w:rFonts w:ascii="Verdana" w:hAnsi="Verdana"/>
          <w:sz w:val="20"/>
          <w:szCs w:val="20"/>
        </w:rPr>
        <w:t>pyra-nometers</w:t>
      </w:r>
      <w:proofErr w:type="spellEnd"/>
      <w:r>
        <w:rPr>
          <w:rFonts w:ascii="Verdana" w:hAnsi="Verdana"/>
          <w:sz w:val="20"/>
          <w:szCs w:val="20"/>
        </w:rPr>
        <w:t xml:space="preserve"> for GHI, pyrheliometers for DNI and shaded ring pyranometers for DHI - are needed to measure different types of irradiances. These instruments are expensive, making it not feasible to install all of them at many locations to develop a dense radiometric network. The network for measuring the duration of sunshine is, however, dense compared with GHI, DNI and DHI. There are long established sunshine duration (SD) measurement activities across the world (Sanchez-Romero et al, 2015). The data availability for SD is also better than for GHI, DNI and DHI in South Africa because simpler and less expensive instruments are used for measuring it.</w:t>
      </w:r>
    </w:p>
    <w:p w14:paraId="611A24E6" w14:textId="77777777" w:rsidR="0022258D" w:rsidRDefault="0022258D" w:rsidP="0022258D">
      <w:pPr>
        <w:pStyle w:val="NormalWeb"/>
        <w:rPr>
          <w:rFonts w:ascii="Verdana" w:hAnsi="Verdana"/>
          <w:sz w:val="19"/>
          <w:szCs w:val="19"/>
        </w:rPr>
      </w:pPr>
      <w:r>
        <w:rPr>
          <w:rFonts w:ascii="Verdana" w:hAnsi="Verdana"/>
          <w:sz w:val="20"/>
          <w:szCs w:val="20"/>
        </w:rPr>
        <w:t xml:space="preserve">The SD (also known as the sunshine hour or bright sunshine hour) is a measure of the duration of sunshine for that day. The device (sunshine recorder) for measuring sunshine hours is simple (more details in Section 2), but useful information can be generated from the data and can be employed in many areas of research. This data has been used in several studies, including for air quality (Sanchez-Romero et al, 2016; Li et al., 2016); environmental pollution (Kaiser and Qian, 2002; </w:t>
      </w:r>
      <w:proofErr w:type="spellStart"/>
      <w:r>
        <w:rPr>
          <w:rFonts w:ascii="Verdana" w:hAnsi="Verdana"/>
          <w:sz w:val="20"/>
          <w:szCs w:val="20"/>
        </w:rPr>
        <w:t>Statheropoulos</w:t>
      </w:r>
      <w:proofErr w:type="spellEnd"/>
      <w:r>
        <w:rPr>
          <w:rFonts w:ascii="Verdana" w:hAnsi="Verdana"/>
          <w:sz w:val="20"/>
          <w:szCs w:val="20"/>
        </w:rPr>
        <w:t xml:space="preserve"> et al., 1998); energy (</w:t>
      </w:r>
      <w:proofErr w:type="spellStart"/>
      <w:r>
        <w:rPr>
          <w:rFonts w:ascii="Verdana" w:hAnsi="Verdana"/>
          <w:sz w:val="20"/>
          <w:szCs w:val="20"/>
        </w:rPr>
        <w:t>Yaiche</w:t>
      </w:r>
      <w:proofErr w:type="spellEnd"/>
      <w:r>
        <w:rPr>
          <w:rFonts w:ascii="Verdana" w:hAnsi="Verdana"/>
          <w:sz w:val="20"/>
          <w:szCs w:val="20"/>
        </w:rPr>
        <w:t xml:space="preserve"> et al., 2014); and solar radiation prediction modelling studies (Mulaudzi et al., 2015; Adeyemi et al., 2015; Singh et al, 2011). The sunshine hour of any day is affected by varying atmospheric and sky conditions, so SD can, therefore, indirectly indicate atmospheric turbidity, visibility and sky conditions.</w:t>
      </w:r>
    </w:p>
    <w:p w14:paraId="430686D0" w14:textId="77777777" w:rsidR="0022258D" w:rsidRDefault="0022258D" w:rsidP="0022258D">
      <w:pPr>
        <w:pStyle w:val="NormalWeb"/>
        <w:rPr>
          <w:rFonts w:ascii="Verdana" w:hAnsi="Verdana"/>
          <w:sz w:val="19"/>
          <w:szCs w:val="19"/>
        </w:rPr>
      </w:pPr>
      <w:r>
        <w:rPr>
          <w:rFonts w:ascii="Verdana" w:hAnsi="Verdana"/>
          <w:sz w:val="20"/>
          <w:szCs w:val="20"/>
        </w:rPr>
        <w:t xml:space="preserve">There is a relatively dense network of </w:t>
      </w:r>
      <w:r>
        <w:rPr>
          <w:rFonts w:ascii="Verdana" w:hAnsi="Verdana"/>
          <w:i/>
          <w:iCs/>
          <w:sz w:val="20"/>
          <w:szCs w:val="20"/>
        </w:rPr>
        <w:t xml:space="preserve">in situ </w:t>
      </w:r>
      <w:r>
        <w:rPr>
          <w:rFonts w:ascii="Verdana" w:hAnsi="Verdana"/>
          <w:sz w:val="20"/>
          <w:szCs w:val="20"/>
        </w:rPr>
        <w:t xml:space="preserve">SD observation points over South Africa. Satellite data is, however, always a better option when it comes to spatial coverage (Rees, 2013; Bojanowski et al., 2014; Singh, 2016). Various issues related to satellite data, like low temporal resolution compared to the </w:t>
      </w:r>
      <w:proofErr w:type="gramStart"/>
      <w:r>
        <w:rPr>
          <w:rFonts w:ascii="Verdana" w:hAnsi="Verdana"/>
          <w:i/>
          <w:iCs/>
          <w:sz w:val="20"/>
          <w:szCs w:val="20"/>
        </w:rPr>
        <w:t>in situ</w:t>
      </w:r>
      <w:proofErr w:type="gramEnd"/>
      <w:r>
        <w:rPr>
          <w:rFonts w:ascii="Verdana" w:hAnsi="Verdana"/>
          <w:i/>
          <w:iCs/>
          <w:sz w:val="20"/>
          <w:szCs w:val="20"/>
        </w:rPr>
        <w:t xml:space="preserve"> </w:t>
      </w:r>
      <w:r>
        <w:rPr>
          <w:rFonts w:ascii="Verdana" w:hAnsi="Verdana"/>
          <w:sz w:val="20"/>
          <w:szCs w:val="20"/>
        </w:rPr>
        <w:t xml:space="preserve">data must nonetheless be taken into account. Where both </w:t>
      </w:r>
      <w:r>
        <w:rPr>
          <w:rFonts w:ascii="Verdana" w:hAnsi="Verdana"/>
          <w:i/>
          <w:iCs/>
          <w:sz w:val="20"/>
          <w:szCs w:val="20"/>
        </w:rPr>
        <w:t xml:space="preserve">in situ </w:t>
      </w:r>
      <w:r>
        <w:rPr>
          <w:rFonts w:ascii="Verdana" w:hAnsi="Verdana"/>
          <w:sz w:val="20"/>
          <w:szCs w:val="20"/>
        </w:rPr>
        <w:t xml:space="preserve">and satellite data are available, it is advisable to use both to extract the most possible information. The satellite application facility (SAF) on climate monitoring (CM), CM-SAF produced the surface solar radiation dataset -Heliostat (SARAH); which provides a useful high-resolution data set of incoming surface shortwave (SIS) for solar radiation studies. The use of this data set has become popular in the scientific community (Ruiz-Arias et al., 2016, </w:t>
      </w:r>
      <w:proofErr w:type="spellStart"/>
      <w:r>
        <w:rPr>
          <w:rFonts w:ascii="Verdana" w:hAnsi="Verdana"/>
          <w:sz w:val="20"/>
          <w:szCs w:val="20"/>
        </w:rPr>
        <w:t>Trentmann</w:t>
      </w:r>
      <w:proofErr w:type="spellEnd"/>
      <w:r>
        <w:rPr>
          <w:rFonts w:ascii="Verdana" w:hAnsi="Verdana"/>
          <w:sz w:val="20"/>
          <w:szCs w:val="20"/>
        </w:rPr>
        <w:t xml:space="preserve"> et al., 2016; </w:t>
      </w:r>
      <w:proofErr w:type="spellStart"/>
      <w:r>
        <w:rPr>
          <w:rFonts w:ascii="Verdana" w:hAnsi="Verdana"/>
          <w:sz w:val="20"/>
          <w:szCs w:val="20"/>
        </w:rPr>
        <w:t>Badescu</w:t>
      </w:r>
      <w:proofErr w:type="spellEnd"/>
      <w:r>
        <w:rPr>
          <w:rFonts w:ascii="Verdana" w:hAnsi="Verdana"/>
          <w:sz w:val="20"/>
          <w:szCs w:val="20"/>
        </w:rPr>
        <w:t xml:space="preserve"> and </w:t>
      </w:r>
      <w:proofErr w:type="spellStart"/>
      <w:r>
        <w:rPr>
          <w:rFonts w:ascii="Verdana" w:hAnsi="Verdana"/>
          <w:sz w:val="20"/>
          <w:szCs w:val="20"/>
        </w:rPr>
        <w:t>Dumitrescu</w:t>
      </w:r>
      <w:proofErr w:type="spellEnd"/>
      <w:r>
        <w:rPr>
          <w:rFonts w:ascii="Verdana" w:hAnsi="Verdana"/>
          <w:sz w:val="20"/>
          <w:szCs w:val="20"/>
        </w:rPr>
        <w:t>, 2013). The present study aims to assess long-term trends in SD and change detection using SIS over South Africa on a seasonal scale. The datasets and periods used in the analyses are explained in detail.</w:t>
      </w:r>
    </w:p>
    <w:p w14:paraId="6C6EABAE" w14:textId="77777777" w:rsidR="0022258D" w:rsidRDefault="0022258D" w:rsidP="0022258D">
      <w:pPr>
        <w:pStyle w:val="NormalWeb"/>
        <w:rPr>
          <w:rFonts w:ascii="Verdana" w:hAnsi="Verdana"/>
          <w:sz w:val="19"/>
          <w:szCs w:val="19"/>
        </w:rPr>
      </w:pPr>
      <w:r>
        <w:rPr>
          <w:rFonts w:ascii="Verdana" w:hAnsi="Verdana"/>
          <w:sz w:val="19"/>
          <w:szCs w:val="19"/>
        </w:rPr>
        <w:t> </w:t>
      </w:r>
    </w:p>
    <w:p w14:paraId="6CBD3568" w14:textId="77777777" w:rsidR="0022258D" w:rsidRDefault="0022258D" w:rsidP="0022258D">
      <w:pPr>
        <w:pStyle w:val="NormalWeb"/>
        <w:rPr>
          <w:rFonts w:ascii="Verdana" w:hAnsi="Verdana"/>
          <w:sz w:val="19"/>
          <w:szCs w:val="19"/>
        </w:rPr>
      </w:pPr>
      <w:r>
        <w:rPr>
          <w:rFonts w:ascii="Verdana" w:hAnsi="Verdana"/>
          <w:b/>
          <w:bCs/>
          <w:i/>
          <w:iCs/>
        </w:rPr>
        <w:t>2. Study region and datasets</w:t>
      </w:r>
    </w:p>
    <w:p w14:paraId="31B6D915" w14:textId="77777777" w:rsidR="0022258D" w:rsidRDefault="0022258D" w:rsidP="0022258D">
      <w:pPr>
        <w:pStyle w:val="NormalWeb"/>
        <w:rPr>
          <w:rFonts w:ascii="Verdana" w:hAnsi="Verdana"/>
          <w:sz w:val="19"/>
          <w:szCs w:val="19"/>
        </w:rPr>
      </w:pPr>
      <w:r>
        <w:rPr>
          <w:rFonts w:ascii="Verdana" w:hAnsi="Verdana"/>
          <w:sz w:val="20"/>
          <w:szCs w:val="20"/>
        </w:rPr>
        <w:t xml:space="preserve">The present study has been conducted over the country using </w:t>
      </w:r>
      <w:r>
        <w:rPr>
          <w:rFonts w:ascii="Verdana" w:hAnsi="Verdana"/>
          <w:i/>
          <w:iCs/>
          <w:sz w:val="20"/>
          <w:szCs w:val="20"/>
        </w:rPr>
        <w:t xml:space="preserve">in situ </w:t>
      </w:r>
      <w:r>
        <w:rPr>
          <w:rFonts w:ascii="Verdana" w:hAnsi="Verdana"/>
          <w:sz w:val="20"/>
          <w:szCs w:val="20"/>
        </w:rPr>
        <w:t xml:space="preserve">SD observation data (22 stations) from the South African Weather Service (SAWS) and SARAH SIS satellite data set from CM-SAF. The SAWS </w:t>
      </w:r>
      <w:proofErr w:type="gramStart"/>
      <w:r>
        <w:rPr>
          <w:rFonts w:ascii="Verdana" w:hAnsi="Verdana"/>
          <w:sz w:val="20"/>
          <w:szCs w:val="20"/>
        </w:rPr>
        <w:t>has</w:t>
      </w:r>
      <w:proofErr w:type="gramEnd"/>
      <w:r>
        <w:rPr>
          <w:rFonts w:ascii="Verdana" w:hAnsi="Verdana"/>
          <w:sz w:val="20"/>
          <w:szCs w:val="20"/>
        </w:rPr>
        <w:t xml:space="preserve"> a dense network of SD stations, most of which have measurements from 1950 onwards. The selected 22 stations cover all nine provinces of South Africa, as shown in </w:t>
      </w:r>
      <w:hyperlink r:id="rId51" w:history="1">
        <w:r>
          <w:rPr>
            <w:rStyle w:val="Hyperlink"/>
            <w:rFonts w:ascii="Verdana" w:hAnsi="Verdana"/>
            <w:sz w:val="20"/>
            <w:szCs w:val="20"/>
          </w:rPr>
          <w:t>Figure 1</w:t>
        </w:r>
      </w:hyperlink>
      <w:r>
        <w:rPr>
          <w:rFonts w:ascii="Verdana" w:hAnsi="Verdana"/>
          <w:sz w:val="20"/>
          <w:szCs w:val="20"/>
        </w:rPr>
        <w:t>. The long-term SD dataset is required for trend analysis studies. The Campbell-Stokes sunshine recorder, invented in the late nineteenth century (Sanchez-Romero et al., 2015), was the only instrument that SAWS used to measure the sunshine.</w:t>
      </w:r>
    </w:p>
    <w:p w14:paraId="4EB2CFAC" w14:textId="77777777" w:rsidR="0022258D" w:rsidRDefault="0022258D" w:rsidP="0022258D">
      <w:pPr>
        <w:pStyle w:val="NormalWeb"/>
        <w:rPr>
          <w:rFonts w:ascii="Verdana" w:hAnsi="Verdana"/>
          <w:sz w:val="19"/>
          <w:szCs w:val="19"/>
        </w:rPr>
      </w:pPr>
      <w:r>
        <w:rPr>
          <w:rFonts w:ascii="Verdana" w:hAnsi="Verdana"/>
          <w:sz w:val="20"/>
          <w:szCs w:val="20"/>
        </w:rPr>
        <w:t xml:space="preserve">This instrument allows SD to be determined by calculating the burn mark made by the sun on a specially coated card. It also indicates times or periods of cloudiness and solar irradiance along with SD (Wood and Harrison, 2011; </w:t>
      </w:r>
      <w:proofErr w:type="spellStart"/>
      <w:r>
        <w:rPr>
          <w:rFonts w:ascii="Verdana" w:hAnsi="Verdana"/>
          <w:sz w:val="20"/>
          <w:szCs w:val="20"/>
        </w:rPr>
        <w:t>Stanhill</w:t>
      </w:r>
      <w:proofErr w:type="spellEnd"/>
      <w:r>
        <w:rPr>
          <w:rFonts w:ascii="Verdana" w:hAnsi="Verdana"/>
          <w:sz w:val="20"/>
          <w:szCs w:val="20"/>
        </w:rPr>
        <w:t>, 2003).</w:t>
      </w:r>
    </w:p>
    <w:p w14:paraId="3CD5D98B" w14:textId="77777777" w:rsidR="0022258D" w:rsidRDefault="0022258D" w:rsidP="0022258D">
      <w:pPr>
        <w:pStyle w:val="NormalWeb"/>
        <w:rPr>
          <w:rFonts w:ascii="Verdana" w:hAnsi="Verdana"/>
          <w:sz w:val="19"/>
          <w:szCs w:val="19"/>
        </w:rPr>
      </w:pPr>
      <w:r>
        <w:rPr>
          <w:rFonts w:ascii="Verdana" w:hAnsi="Verdana"/>
          <w:sz w:val="20"/>
          <w:szCs w:val="20"/>
        </w:rPr>
        <w:lastRenderedPageBreak/>
        <w:t xml:space="preserve">The time series produced from the measured data can be regarded as homogeneous if the instrument was continuously well-exposed during the station's history. Many stations that could otherwise have been used in the study had large gaps in their time series, while most stations have data only since around 1978. The 22 selected stations are given in </w:t>
      </w:r>
      <w:hyperlink r:id="rId52" w:history="1">
        <w:r>
          <w:rPr>
            <w:rStyle w:val="Hyperlink"/>
            <w:rFonts w:ascii="Verdana" w:hAnsi="Verdana"/>
            <w:sz w:val="20"/>
            <w:szCs w:val="20"/>
          </w:rPr>
          <w:t>Table 1</w:t>
        </w:r>
      </w:hyperlink>
      <w:r>
        <w:rPr>
          <w:rFonts w:ascii="Verdana" w:hAnsi="Verdana"/>
          <w:sz w:val="20"/>
          <w:szCs w:val="20"/>
        </w:rPr>
        <w:t>, together with the analysis periods, from various start dates up to the end of 2014. Relevant climatic regions of the stations are also given, with many in arid or semiarid environments (Kruger, 2004).</w:t>
      </w:r>
    </w:p>
    <w:p w14:paraId="73077E16" w14:textId="77777777" w:rsidR="0022258D" w:rsidRDefault="0022258D" w:rsidP="0022258D">
      <w:pPr>
        <w:pStyle w:val="NormalWeb"/>
        <w:rPr>
          <w:rFonts w:ascii="Verdana" w:hAnsi="Verdana"/>
          <w:sz w:val="19"/>
          <w:szCs w:val="19"/>
        </w:rPr>
      </w:pPr>
      <w:r>
        <w:rPr>
          <w:rFonts w:ascii="Verdana" w:hAnsi="Verdana"/>
          <w:sz w:val="20"/>
          <w:szCs w:val="20"/>
        </w:rPr>
        <w:t>The SIS or global radiation was derived from the long-term EUMETSAT CMSAF a European Union-based initiative to produce high-quality satellite-derived data and services for climate monitoring (Müller et al., 2015). The SARAH dataset comprises derived global solar surface radiation with a resolution of 0.05° x 0.05° for the period 1983-2013 (Müller et al., 2015).</w:t>
      </w:r>
    </w:p>
    <w:p w14:paraId="017D14F9" w14:textId="77777777" w:rsidR="0022258D" w:rsidRDefault="0022258D" w:rsidP="0022258D">
      <w:pPr>
        <w:pStyle w:val="NormalWeb"/>
        <w:rPr>
          <w:rFonts w:ascii="Verdana" w:hAnsi="Verdana"/>
          <w:sz w:val="19"/>
          <w:szCs w:val="19"/>
        </w:rPr>
      </w:pPr>
      <w:r>
        <w:rPr>
          <w:rFonts w:ascii="Verdana" w:hAnsi="Verdana"/>
          <w:sz w:val="19"/>
          <w:szCs w:val="19"/>
        </w:rPr>
        <w:t> </w:t>
      </w:r>
    </w:p>
    <w:p w14:paraId="369A350D" w14:textId="77777777" w:rsidR="0022258D" w:rsidRDefault="0022258D" w:rsidP="0022258D">
      <w:pPr>
        <w:pStyle w:val="NormalWeb"/>
        <w:rPr>
          <w:rFonts w:ascii="Verdana" w:hAnsi="Verdana"/>
          <w:sz w:val="19"/>
          <w:szCs w:val="19"/>
        </w:rPr>
      </w:pPr>
      <w:r>
        <w:rPr>
          <w:rFonts w:ascii="Verdana" w:hAnsi="Verdana"/>
          <w:b/>
          <w:bCs/>
        </w:rPr>
        <w:t>3. Methodology</w:t>
      </w:r>
    </w:p>
    <w:p w14:paraId="54F20E16" w14:textId="77777777" w:rsidR="0022258D" w:rsidRDefault="0022258D" w:rsidP="0022258D">
      <w:pPr>
        <w:pStyle w:val="NormalWeb"/>
        <w:rPr>
          <w:rFonts w:ascii="Verdana" w:hAnsi="Verdana"/>
          <w:sz w:val="19"/>
          <w:szCs w:val="19"/>
        </w:rPr>
      </w:pPr>
      <w:r>
        <w:rPr>
          <w:rFonts w:ascii="Verdana" w:hAnsi="Verdana"/>
          <w:sz w:val="20"/>
          <w:szCs w:val="20"/>
        </w:rPr>
        <w:t>This investigation focuses on SD and SIS trends in different seasons. The SD data used goes back to 1951 and was minutely analysed for quality assurance.</w:t>
      </w:r>
    </w:p>
    <w:p w14:paraId="6513498B" w14:textId="77777777" w:rsidR="0022258D" w:rsidRDefault="0022258D" w:rsidP="0022258D">
      <w:pPr>
        <w:pStyle w:val="NormalWeb"/>
        <w:rPr>
          <w:rFonts w:ascii="Verdana" w:hAnsi="Verdana"/>
          <w:sz w:val="19"/>
          <w:szCs w:val="19"/>
        </w:rPr>
      </w:pPr>
      <w:r>
        <w:rPr>
          <w:rFonts w:ascii="Verdana" w:hAnsi="Verdana"/>
          <w:b/>
          <w:bCs/>
          <w:i/>
          <w:iCs/>
          <w:sz w:val="20"/>
          <w:szCs w:val="20"/>
        </w:rPr>
        <w:t>3.1 Data quality</w:t>
      </w:r>
    </w:p>
    <w:p w14:paraId="2FF93463" w14:textId="77777777" w:rsidR="0022258D" w:rsidRDefault="0022258D" w:rsidP="0022258D">
      <w:pPr>
        <w:pStyle w:val="NormalWeb"/>
        <w:rPr>
          <w:rFonts w:ascii="Verdana" w:hAnsi="Verdana"/>
          <w:sz w:val="19"/>
          <w:szCs w:val="19"/>
        </w:rPr>
      </w:pPr>
      <w:r>
        <w:rPr>
          <w:rFonts w:ascii="Verdana" w:hAnsi="Verdana"/>
          <w:sz w:val="20"/>
          <w:szCs w:val="20"/>
        </w:rPr>
        <w:t xml:space="preserve">Only those years were used for the trend analysis where percentage SD data availability was more than 90%. The SD data was checked </w:t>
      </w:r>
      <w:proofErr w:type="gramStart"/>
      <w:r>
        <w:rPr>
          <w:rFonts w:ascii="Verdana" w:hAnsi="Verdana"/>
          <w:sz w:val="20"/>
          <w:szCs w:val="20"/>
        </w:rPr>
        <w:t>carefully</w:t>
      </w:r>
      <w:proofErr w:type="gramEnd"/>
      <w:r>
        <w:rPr>
          <w:rFonts w:ascii="Verdana" w:hAnsi="Verdana"/>
          <w:sz w:val="20"/>
          <w:szCs w:val="20"/>
        </w:rPr>
        <w:t xml:space="preserve"> and all the impossible SD values were removed, e.g., the days where more hours are reported than the maximum possible SD. False zeros were also removed, thus ensuring quality SD data before trend analyses.</w:t>
      </w:r>
    </w:p>
    <w:p w14:paraId="065B7A1B" w14:textId="77777777" w:rsidR="0022258D" w:rsidRDefault="0022258D" w:rsidP="0022258D">
      <w:pPr>
        <w:pStyle w:val="NormalWeb"/>
        <w:rPr>
          <w:rFonts w:ascii="Verdana" w:hAnsi="Verdana"/>
          <w:sz w:val="19"/>
          <w:szCs w:val="19"/>
        </w:rPr>
      </w:pPr>
      <w:r>
        <w:rPr>
          <w:rFonts w:ascii="Verdana" w:hAnsi="Verdana"/>
          <w:b/>
          <w:bCs/>
          <w:i/>
          <w:iCs/>
          <w:sz w:val="20"/>
          <w:szCs w:val="20"/>
        </w:rPr>
        <w:t>3.2 Trend analysis</w:t>
      </w:r>
    </w:p>
    <w:p w14:paraId="4F678EE6" w14:textId="77777777" w:rsidR="00056202" w:rsidRDefault="0022258D" w:rsidP="0022258D">
      <w:pPr>
        <w:pStyle w:val="NormalWeb"/>
        <w:rPr>
          <w:rFonts w:ascii="Verdana" w:hAnsi="Verdana"/>
          <w:sz w:val="20"/>
          <w:szCs w:val="20"/>
        </w:rPr>
      </w:pPr>
      <w:r>
        <w:rPr>
          <w:rFonts w:ascii="Verdana" w:hAnsi="Verdana"/>
          <w:sz w:val="20"/>
          <w:szCs w:val="20"/>
        </w:rPr>
        <w:t xml:space="preserve">Trend analysis was performed on the quality checked SD data on a seasonal scale - summer: December, January and February (DJF); autumn: March, April, and May (MAM); winter: June, July, and August (JJA); and spring: September, October, and November (SON). The significance of the linear trend was tested using the t-test at the 5% level of significance and the </w:t>
      </w:r>
      <w:r w:rsidRPr="00056202">
        <w:rPr>
          <w:rFonts w:ascii="Verdana" w:hAnsi="Verdana"/>
          <w:sz w:val="20"/>
          <w:szCs w:val="20"/>
          <w:highlight w:val="yellow"/>
        </w:rPr>
        <w:t>change detection method was used on SIS datasets</w:t>
      </w:r>
      <w:r>
        <w:rPr>
          <w:rFonts w:ascii="Verdana" w:hAnsi="Verdana"/>
          <w:sz w:val="20"/>
          <w:szCs w:val="20"/>
        </w:rPr>
        <w:t xml:space="preserve">. The differences in attributes, processes, and phenomena over different time periods in the change detection method were examined. </w:t>
      </w:r>
    </w:p>
    <w:p w14:paraId="3F1523C3" w14:textId="77777777" w:rsidR="00056202" w:rsidRDefault="00056202" w:rsidP="0022258D">
      <w:pPr>
        <w:pStyle w:val="NormalWeb"/>
        <w:rPr>
          <w:rFonts w:ascii="Verdana" w:hAnsi="Verdana"/>
          <w:sz w:val="20"/>
          <w:szCs w:val="20"/>
        </w:rPr>
      </w:pPr>
    </w:p>
    <w:p w14:paraId="7E6823DD" w14:textId="52E1E4D8" w:rsidR="0022258D" w:rsidRDefault="0022258D" w:rsidP="0022258D">
      <w:pPr>
        <w:pStyle w:val="NormalWeb"/>
        <w:rPr>
          <w:rFonts w:ascii="Verdana" w:hAnsi="Verdana"/>
          <w:sz w:val="19"/>
          <w:szCs w:val="19"/>
        </w:rPr>
      </w:pPr>
      <w:r>
        <w:rPr>
          <w:rFonts w:ascii="Verdana" w:hAnsi="Verdana"/>
          <w:sz w:val="20"/>
          <w:szCs w:val="20"/>
        </w:rPr>
        <w:t>The SIS dataset (</w:t>
      </w:r>
      <w:r w:rsidRPr="00A61657">
        <w:rPr>
          <w:rFonts w:ascii="Verdana" w:hAnsi="Verdana"/>
          <w:color w:val="FF0000"/>
          <w:sz w:val="20"/>
          <w:szCs w:val="20"/>
          <w:highlight w:val="yellow"/>
        </w:rPr>
        <w:t>1983-2013</w:t>
      </w:r>
      <w:r>
        <w:rPr>
          <w:rFonts w:ascii="Verdana" w:hAnsi="Verdana"/>
          <w:sz w:val="20"/>
          <w:szCs w:val="20"/>
        </w:rPr>
        <w:t>) was subsequently divided into two groups of almost equal periods, (</w:t>
      </w:r>
      <w:proofErr w:type="spellStart"/>
      <w:r>
        <w:rPr>
          <w:rFonts w:ascii="Verdana" w:hAnsi="Verdana"/>
          <w:sz w:val="20"/>
          <w:szCs w:val="20"/>
        </w:rPr>
        <w:t>i</w:t>
      </w:r>
      <w:proofErr w:type="spellEnd"/>
      <w:r>
        <w:rPr>
          <w:rFonts w:ascii="Verdana" w:hAnsi="Verdana"/>
          <w:sz w:val="20"/>
          <w:szCs w:val="20"/>
        </w:rPr>
        <w:t xml:space="preserve">) </w:t>
      </w:r>
      <w:r w:rsidRPr="00A61657">
        <w:rPr>
          <w:rFonts w:ascii="Verdana" w:hAnsi="Verdana"/>
          <w:sz w:val="20"/>
          <w:szCs w:val="20"/>
          <w:highlight w:val="yellow"/>
        </w:rPr>
        <w:t>1983-1997</w:t>
      </w:r>
      <w:r>
        <w:rPr>
          <w:rFonts w:ascii="Verdana" w:hAnsi="Verdana"/>
          <w:sz w:val="20"/>
          <w:szCs w:val="20"/>
        </w:rPr>
        <w:t xml:space="preserve"> and (ii) </w:t>
      </w:r>
      <w:r w:rsidRPr="00A61657">
        <w:rPr>
          <w:rFonts w:ascii="Verdana" w:hAnsi="Verdana"/>
          <w:sz w:val="20"/>
          <w:szCs w:val="20"/>
          <w:highlight w:val="yellow"/>
        </w:rPr>
        <w:t>1998-2013</w:t>
      </w:r>
      <w:r>
        <w:rPr>
          <w:rFonts w:ascii="Verdana" w:hAnsi="Verdana"/>
          <w:sz w:val="20"/>
          <w:szCs w:val="20"/>
        </w:rPr>
        <w:t xml:space="preserve">. The detection of the change between the two data groups was achieved by </w:t>
      </w:r>
      <w:r w:rsidRPr="009E4C7D">
        <w:rPr>
          <w:rFonts w:ascii="Verdana" w:hAnsi="Verdana"/>
          <w:sz w:val="20"/>
          <w:szCs w:val="20"/>
          <w:highlight w:val="yellow"/>
        </w:rPr>
        <w:t>subtracting the mean of (</w:t>
      </w:r>
      <w:proofErr w:type="spellStart"/>
      <w:r w:rsidRPr="009E4C7D">
        <w:rPr>
          <w:rFonts w:ascii="Verdana" w:hAnsi="Verdana"/>
          <w:sz w:val="20"/>
          <w:szCs w:val="20"/>
          <w:highlight w:val="yellow"/>
        </w:rPr>
        <w:t>i</w:t>
      </w:r>
      <w:proofErr w:type="spellEnd"/>
      <w:r w:rsidRPr="009E4C7D">
        <w:rPr>
          <w:rFonts w:ascii="Verdana" w:hAnsi="Verdana"/>
          <w:sz w:val="20"/>
          <w:szCs w:val="20"/>
          <w:highlight w:val="yellow"/>
        </w:rPr>
        <w:t>) from (ii).</w:t>
      </w:r>
    </w:p>
    <w:p w14:paraId="7C34CF1D" w14:textId="77777777" w:rsidR="0022258D" w:rsidRDefault="0022258D" w:rsidP="0022258D">
      <w:pPr>
        <w:pStyle w:val="NormalWeb"/>
        <w:rPr>
          <w:rFonts w:ascii="Verdana" w:hAnsi="Verdana"/>
          <w:sz w:val="19"/>
          <w:szCs w:val="19"/>
        </w:rPr>
      </w:pPr>
      <w:r>
        <w:rPr>
          <w:rFonts w:ascii="Verdana" w:hAnsi="Verdana"/>
          <w:sz w:val="19"/>
          <w:szCs w:val="19"/>
        </w:rPr>
        <w:t> </w:t>
      </w:r>
    </w:p>
    <w:p w14:paraId="10FA993A" w14:textId="77777777" w:rsidR="0022258D" w:rsidRDefault="0022258D" w:rsidP="0022258D">
      <w:pPr>
        <w:pStyle w:val="NormalWeb"/>
        <w:rPr>
          <w:rFonts w:ascii="Verdana" w:hAnsi="Verdana"/>
          <w:sz w:val="19"/>
          <w:szCs w:val="19"/>
        </w:rPr>
      </w:pPr>
      <w:r>
        <w:rPr>
          <w:rFonts w:ascii="Verdana" w:hAnsi="Verdana"/>
          <w:b/>
          <w:bCs/>
        </w:rPr>
        <w:t>4. Results and discussion</w:t>
      </w:r>
    </w:p>
    <w:p w14:paraId="78D50C20" w14:textId="07B40DE4" w:rsidR="0022258D" w:rsidRDefault="0022258D" w:rsidP="0022258D">
      <w:pPr>
        <w:pStyle w:val="NormalWeb"/>
        <w:rPr>
          <w:rFonts w:ascii="Verdana" w:hAnsi="Verdana"/>
          <w:sz w:val="20"/>
          <w:szCs w:val="20"/>
        </w:rPr>
      </w:pPr>
      <w:r>
        <w:rPr>
          <w:rFonts w:ascii="Verdana" w:hAnsi="Verdana"/>
          <w:sz w:val="20"/>
          <w:szCs w:val="20"/>
        </w:rPr>
        <w:t>T</w:t>
      </w:r>
      <w:r w:rsidRPr="00C851E1">
        <w:rPr>
          <w:rFonts w:ascii="Verdana" w:hAnsi="Verdana"/>
          <w:sz w:val="20"/>
          <w:szCs w:val="20"/>
          <w:highlight w:val="yellow"/>
        </w:rPr>
        <w:t>here was, in most cases, a broad agreement between the seasonal SD and SIS data.</w:t>
      </w:r>
      <w:r>
        <w:rPr>
          <w:rFonts w:ascii="Verdana" w:hAnsi="Verdana"/>
          <w:sz w:val="20"/>
          <w:szCs w:val="20"/>
        </w:rPr>
        <w:t xml:space="preserve"> </w:t>
      </w:r>
      <w:hyperlink r:id="rId53" w:history="1">
        <w:r>
          <w:rPr>
            <w:rStyle w:val="Hyperlink"/>
            <w:rFonts w:ascii="Verdana" w:hAnsi="Verdana"/>
            <w:sz w:val="20"/>
            <w:szCs w:val="20"/>
          </w:rPr>
          <w:t>Figure 2</w:t>
        </w:r>
      </w:hyperlink>
      <w:r>
        <w:rPr>
          <w:rFonts w:ascii="Verdana" w:hAnsi="Verdana"/>
          <w:sz w:val="20"/>
          <w:szCs w:val="20"/>
        </w:rPr>
        <w:t xml:space="preserve"> illustrates, per season, the differences in the average global solar radiation/SIS received between the periods 1983-1997 and 1998-2013 from the CM-SAF SARAH data. </w:t>
      </w:r>
      <w:hyperlink r:id="rId54" w:history="1">
        <w:r>
          <w:rPr>
            <w:rStyle w:val="Hyperlink"/>
            <w:rFonts w:ascii="Verdana" w:hAnsi="Verdana"/>
            <w:sz w:val="20"/>
            <w:szCs w:val="20"/>
          </w:rPr>
          <w:t>Table 2</w:t>
        </w:r>
      </w:hyperlink>
      <w:r>
        <w:rPr>
          <w:rFonts w:ascii="Verdana" w:hAnsi="Verdana"/>
          <w:sz w:val="20"/>
          <w:szCs w:val="20"/>
        </w:rPr>
        <w:t xml:space="preserve"> presents the results of linear trends of the daily sunshine hours received per season for the periods from the start year (as indicated in </w:t>
      </w:r>
      <w:hyperlink r:id="rId55" w:history="1">
        <w:r>
          <w:rPr>
            <w:rStyle w:val="Hyperlink"/>
            <w:rFonts w:ascii="Verdana" w:hAnsi="Verdana"/>
            <w:sz w:val="20"/>
            <w:szCs w:val="20"/>
          </w:rPr>
          <w:t>Table 1</w:t>
        </w:r>
      </w:hyperlink>
      <w:r>
        <w:rPr>
          <w:rFonts w:ascii="Verdana" w:hAnsi="Verdana"/>
          <w:sz w:val="20"/>
          <w:szCs w:val="20"/>
        </w:rPr>
        <w:t>) to 2014.</w:t>
      </w:r>
    </w:p>
    <w:p w14:paraId="21858A32" w14:textId="1B1353A4" w:rsidR="001965AE" w:rsidRDefault="001965AE" w:rsidP="0022258D">
      <w:pPr>
        <w:pStyle w:val="NormalWeb"/>
        <w:rPr>
          <w:rFonts w:ascii="Verdana" w:hAnsi="Verdana"/>
          <w:sz w:val="19"/>
          <w:szCs w:val="19"/>
        </w:rPr>
      </w:pPr>
    </w:p>
    <w:p w14:paraId="4F7C8C40" w14:textId="4AD87E55" w:rsidR="001965AE" w:rsidRDefault="001965AE" w:rsidP="0022258D">
      <w:pPr>
        <w:pStyle w:val="NormalWeb"/>
        <w:rPr>
          <w:rFonts w:ascii="Verdana" w:hAnsi="Verdana"/>
          <w:sz w:val="19"/>
          <w:szCs w:val="19"/>
        </w:rPr>
      </w:pPr>
      <w:r>
        <w:rPr>
          <w:noProof/>
        </w:rPr>
        <w:drawing>
          <wp:inline distT="0" distB="0" distL="0" distR="0" wp14:anchorId="33C8BE91" wp14:editId="2E557B45">
            <wp:extent cx="5731510" cy="5699125"/>
            <wp:effectExtent l="0" t="0" r="2540" b="0"/>
            <wp:docPr id="1" name="Picture 1" descr="http://www.scielo.org.za/img/revistas/jesa/v28n2/05f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scielo.org.za/img/revistas/jesa/v28n2/05f02.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31510" cy="5699125"/>
                    </a:xfrm>
                    <a:prstGeom prst="rect">
                      <a:avLst/>
                    </a:prstGeom>
                    <a:noFill/>
                    <a:ln>
                      <a:noFill/>
                    </a:ln>
                  </pic:spPr>
                </pic:pic>
              </a:graphicData>
            </a:graphic>
          </wp:inline>
        </w:drawing>
      </w:r>
    </w:p>
    <w:p w14:paraId="6E7353CD" w14:textId="5962BFE7" w:rsidR="005617FF" w:rsidRDefault="005617FF" w:rsidP="0022258D">
      <w:pPr>
        <w:pStyle w:val="NormalWeb"/>
        <w:rPr>
          <w:rFonts w:ascii="Verdana" w:hAnsi="Verdana"/>
          <w:sz w:val="19"/>
          <w:szCs w:val="19"/>
        </w:rPr>
      </w:pPr>
    </w:p>
    <w:p w14:paraId="3C68F86E" w14:textId="4DEC81AC" w:rsidR="005617FF" w:rsidRDefault="005617FF" w:rsidP="0022258D">
      <w:pPr>
        <w:pStyle w:val="NormalWeb"/>
        <w:rPr>
          <w:rFonts w:ascii="Verdana" w:hAnsi="Verdana"/>
          <w:sz w:val="19"/>
          <w:szCs w:val="19"/>
        </w:rPr>
      </w:pPr>
      <w:r>
        <w:rPr>
          <w:noProof/>
        </w:rPr>
        <w:lastRenderedPageBreak/>
        <w:drawing>
          <wp:inline distT="0" distB="0" distL="0" distR="0" wp14:anchorId="2301D094" wp14:editId="3EB4A764">
            <wp:extent cx="5731510" cy="4350385"/>
            <wp:effectExtent l="0" t="0" r="2540" b="0"/>
            <wp:docPr id="4" name="Picture 4" descr="http://www.scielo.org.za/img/revistas/jesa/v28n2/05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scielo.org.za/img/revistas/jesa/v28n2/05t2.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31510" cy="4350385"/>
                    </a:xfrm>
                    <a:prstGeom prst="rect">
                      <a:avLst/>
                    </a:prstGeom>
                    <a:noFill/>
                    <a:ln>
                      <a:noFill/>
                    </a:ln>
                  </pic:spPr>
                </pic:pic>
              </a:graphicData>
            </a:graphic>
          </wp:inline>
        </w:drawing>
      </w:r>
    </w:p>
    <w:p w14:paraId="203F2176" w14:textId="77777777" w:rsidR="0022258D" w:rsidRDefault="0022258D" w:rsidP="0022258D">
      <w:pPr>
        <w:pStyle w:val="NormalWeb"/>
        <w:rPr>
          <w:rFonts w:ascii="Verdana" w:hAnsi="Verdana"/>
          <w:sz w:val="19"/>
          <w:szCs w:val="19"/>
        </w:rPr>
      </w:pPr>
      <w:r>
        <w:rPr>
          <w:rFonts w:ascii="Verdana" w:hAnsi="Verdana"/>
          <w:b/>
          <w:bCs/>
          <w:i/>
          <w:iCs/>
          <w:sz w:val="20"/>
          <w:szCs w:val="20"/>
        </w:rPr>
        <w:t>4.1 Trends in SD</w:t>
      </w:r>
    </w:p>
    <w:p w14:paraId="30F36CD5" w14:textId="77777777" w:rsidR="0022258D" w:rsidRDefault="0022258D" w:rsidP="0022258D">
      <w:pPr>
        <w:pStyle w:val="NormalWeb"/>
        <w:rPr>
          <w:rFonts w:ascii="Verdana" w:hAnsi="Verdana"/>
          <w:sz w:val="19"/>
          <w:szCs w:val="19"/>
        </w:rPr>
      </w:pPr>
      <w:r>
        <w:rPr>
          <w:rFonts w:ascii="Verdana" w:hAnsi="Verdana"/>
          <w:sz w:val="20"/>
          <w:szCs w:val="20"/>
        </w:rPr>
        <w:t xml:space="preserve">Significant trends at 5% level of significance (p&lt;0.05) are marked by an asterisk in </w:t>
      </w:r>
      <w:hyperlink r:id="rId58" w:history="1">
        <w:r>
          <w:rPr>
            <w:rStyle w:val="Hyperlink"/>
            <w:rFonts w:ascii="Verdana" w:hAnsi="Verdana"/>
            <w:sz w:val="20"/>
            <w:szCs w:val="20"/>
          </w:rPr>
          <w:t>Table 2</w:t>
        </w:r>
      </w:hyperlink>
      <w:r>
        <w:rPr>
          <w:rFonts w:ascii="Verdana" w:hAnsi="Verdana"/>
          <w:sz w:val="20"/>
          <w:szCs w:val="20"/>
        </w:rPr>
        <w:t xml:space="preserve">. Kimberley and </w:t>
      </w:r>
      <w:proofErr w:type="spellStart"/>
      <w:r>
        <w:rPr>
          <w:rFonts w:ascii="Verdana" w:hAnsi="Verdana"/>
          <w:sz w:val="20"/>
          <w:szCs w:val="20"/>
        </w:rPr>
        <w:t>Vanwyksvlei</w:t>
      </w:r>
      <w:proofErr w:type="spellEnd"/>
      <w:r>
        <w:rPr>
          <w:rFonts w:ascii="Verdana" w:hAnsi="Verdana"/>
          <w:sz w:val="20"/>
          <w:szCs w:val="20"/>
        </w:rPr>
        <w:t xml:space="preserve"> in the Northern Cape Province were the only two out of the 22 stations that showed declining trends in all seasons.</w:t>
      </w:r>
    </w:p>
    <w:p w14:paraId="05A2ED5E" w14:textId="77777777" w:rsidR="0022258D" w:rsidRDefault="0022258D" w:rsidP="0022258D">
      <w:pPr>
        <w:pStyle w:val="NormalWeb"/>
        <w:rPr>
          <w:rFonts w:ascii="Verdana" w:hAnsi="Verdana"/>
          <w:sz w:val="19"/>
          <w:szCs w:val="19"/>
        </w:rPr>
      </w:pPr>
      <w:r>
        <w:rPr>
          <w:rFonts w:ascii="Verdana" w:hAnsi="Verdana"/>
          <w:sz w:val="20"/>
          <w:szCs w:val="20"/>
        </w:rPr>
        <w:t xml:space="preserve">The decline in SD at Kimberley in all the seasons was possibly because of the mining in this area, as mining activities release air pollutants that interact with the incoming solar radiation. No trend was observed at Upington over all the seasons. It was noted that </w:t>
      </w:r>
      <w:proofErr w:type="spellStart"/>
      <w:r>
        <w:rPr>
          <w:rFonts w:ascii="Verdana" w:hAnsi="Verdana"/>
          <w:sz w:val="20"/>
          <w:szCs w:val="20"/>
        </w:rPr>
        <w:t>Calvinia</w:t>
      </w:r>
      <w:proofErr w:type="spellEnd"/>
      <w:r>
        <w:rPr>
          <w:rFonts w:ascii="Verdana" w:hAnsi="Verdana"/>
          <w:sz w:val="20"/>
          <w:szCs w:val="20"/>
        </w:rPr>
        <w:t xml:space="preserve">, on the other hand, was the only station where a significant increase in SD occurred in all seasons. </w:t>
      </w:r>
      <w:proofErr w:type="spellStart"/>
      <w:r>
        <w:rPr>
          <w:rFonts w:ascii="Verdana" w:hAnsi="Verdana"/>
          <w:sz w:val="20"/>
          <w:szCs w:val="20"/>
        </w:rPr>
        <w:t>Calvinia</w:t>
      </w:r>
      <w:proofErr w:type="spellEnd"/>
      <w:r>
        <w:rPr>
          <w:rFonts w:ascii="Verdana" w:hAnsi="Verdana"/>
          <w:sz w:val="20"/>
          <w:szCs w:val="20"/>
        </w:rPr>
        <w:t xml:space="preserve"> is a sparsely populated regional town in Northern Cape Province with little industrial activity. The Eastern Cape stations also showed a decline or no trend in all the seasons, except </w:t>
      </w:r>
      <w:proofErr w:type="spellStart"/>
      <w:r>
        <w:rPr>
          <w:rFonts w:ascii="Verdana" w:hAnsi="Verdana"/>
          <w:sz w:val="20"/>
          <w:szCs w:val="20"/>
        </w:rPr>
        <w:t>Willowmore</w:t>
      </w:r>
      <w:proofErr w:type="spellEnd"/>
      <w:r>
        <w:rPr>
          <w:rFonts w:ascii="Verdana" w:hAnsi="Verdana"/>
          <w:sz w:val="20"/>
          <w:szCs w:val="20"/>
        </w:rPr>
        <w:t>, where there was an increasing trend (0.01 hr yr</w:t>
      </w:r>
      <w:r>
        <w:rPr>
          <w:rFonts w:ascii="Verdana" w:hAnsi="Verdana"/>
          <w:sz w:val="20"/>
          <w:szCs w:val="20"/>
          <w:vertAlign w:val="superscript"/>
        </w:rPr>
        <w:t>-1</w:t>
      </w:r>
      <w:r>
        <w:rPr>
          <w:rFonts w:ascii="Verdana" w:hAnsi="Verdana"/>
          <w:sz w:val="20"/>
          <w:szCs w:val="20"/>
        </w:rPr>
        <w:t>) in SD in spring. Both stations (Bloemfontein and Bethlehem) in the Free State Province showed a decline in SD during summer. Bloemfontein showed a decreasing trend in SD in summer (-0.01* hr yr</w:t>
      </w:r>
      <w:r>
        <w:rPr>
          <w:rFonts w:ascii="Verdana" w:hAnsi="Verdana"/>
          <w:sz w:val="20"/>
          <w:szCs w:val="20"/>
          <w:vertAlign w:val="superscript"/>
        </w:rPr>
        <w:t>-1</w:t>
      </w:r>
      <w:r>
        <w:rPr>
          <w:rFonts w:ascii="Verdana" w:hAnsi="Verdana"/>
          <w:sz w:val="20"/>
          <w:szCs w:val="20"/>
        </w:rPr>
        <w:t>) and winter (-0.01* hr yr</w:t>
      </w:r>
      <w:r>
        <w:rPr>
          <w:rFonts w:ascii="Verdana" w:hAnsi="Verdana"/>
          <w:sz w:val="20"/>
          <w:szCs w:val="20"/>
          <w:vertAlign w:val="superscript"/>
        </w:rPr>
        <w:t>-1</w:t>
      </w:r>
      <w:r>
        <w:rPr>
          <w:rFonts w:ascii="Verdana" w:hAnsi="Verdana"/>
          <w:sz w:val="20"/>
          <w:szCs w:val="20"/>
        </w:rPr>
        <w:t>), but an increasing trend in SD was observed during spring (0.02* hr yr</w:t>
      </w:r>
      <w:r>
        <w:rPr>
          <w:rFonts w:ascii="Verdana" w:hAnsi="Verdana"/>
          <w:sz w:val="20"/>
          <w:szCs w:val="20"/>
          <w:vertAlign w:val="superscript"/>
        </w:rPr>
        <w:t>-1</w:t>
      </w:r>
      <w:r>
        <w:rPr>
          <w:rFonts w:ascii="Verdana" w:hAnsi="Verdana"/>
          <w:sz w:val="20"/>
          <w:szCs w:val="20"/>
        </w:rPr>
        <w:t>). Bethlehem showed a declining trend in SD only in summer (-0.01* hr yr</w:t>
      </w:r>
      <w:r>
        <w:rPr>
          <w:rFonts w:ascii="Verdana" w:hAnsi="Verdana"/>
          <w:sz w:val="20"/>
          <w:szCs w:val="20"/>
          <w:vertAlign w:val="superscript"/>
        </w:rPr>
        <w:t>-1</w:t>
      </w:r>
      <w:r>
        <w:rPr>
          <w:rFonts w:ascii="Verdana" w:hAnsi="Verdana"/>
          <w:sz w:val="20"/>
          <w:szCs w:val="20"/>
        </w:rPr>
        <w:t>), and in other seasons either no or and increasing trend were observed in SD. This could be explained by the possibility of less aerosol concentration over the Free State during winter and spring season, probably because of the cleaning of the atmosphere by baroclinic westerly disturbances passing over the region. This disturbance is associated with high wind speed and advection of cleaner air from the west (Ross et al., 2003).</w:t>
      </w:r>
    </w:p>
    <w:p w14:paraId="5678D549" w14:textId="77777777" w:rsidR="0022258D" w:rsidRDefault="0022258D" w:rsidP="0022258D">
      <w:pPr>
        <w:pStyle w:val="NormalWeb"/>
        <w:rPr>
          <w:rFonts w:ascii="Verdana" w:hAnsi="Verdana"/>
          <w:sz w:val="19"/>
          <w:szCs w:val="19"/>
        </w:rPr>
      </w:pPr>
      <w:r>
        <w:rPr>
          <w:rFonts w:ascii="Verdana" w:hAnsi="Verdana"/>
          <w:sz w:val="20"/>
          <w:szCs w:val="20"/>
        </w:rPr>
        <w:t xml:space="preserve">Two stations of KwaZulu-Natal indicated opposite behaviour. In </w:t>
      </w:r>
      <w:proofErr w:type="spellStart"/>
      <w:r>
        <w:rPr>
          <w:rFonts w:ascii="Verdana" w:hAnsi="Verdana"/>
          <w:sz w:val="20"/>
          <w:szCs w:val="20"/>
        </w:rPr>
        <w:t>Shaleburn</w:t>
      </w:r>
      <w:proofErr w:type="spellEnd"/>
      <w:r>
        <w:rPr>
          <w:rFonts w:ascii="Verdana" w:hAnsi="Verdana"/>
          <w:sz w:val="20"/>
          <w:szCs w:val="20"/>
        </w:rPr>
        <w:t>, there was a negative trend in SD in all the seasons, except spring with no trend. In Durban, on the other hand, increasing trends were observed in autumn (0.01* hr yr</w:t>
      </w:r>
      <w:r>
        <w:rPr>
          <w:rFonts w:ascii="Verdana" w:hAnsi="Verdana"/>
          <w:sz w:val="20"/>
          <w:szCs w:val="20"/>
          <w:vertAlign w:val="superscript"/>
        </w:rPr>
        <w:t>-1</w:t>
      </w:r>
      <w:r>
        <w:rPr>
          <w:rFonts w:ascii="Verdana" w:hAnsi="Verdana"/>
          <w:sz w:val="20"/>
          <w:szCs w:val="20"/>
        </w:rPr>
        <w:t xml:space="preserve">) and winter (0.01 </w:t>
      </w:r>
      <w:r>
        <w:rPr>
          <w:rFonts w:ascii="Verdana" w:hAnsi="Verdana"/>
          <w:sz w:val="20"/>
          <w:szCs w:val="20"/>
        </w:rPr>
        <w:lastRenderedPageBreak/>
        <w:t>hr yr</w:t>
      </w:r>
      <w:r>
        <w:rPr>
          <w:rFonts w:ascii="Verdana" w:hAnsi="Verdana"/>
          <w:sz w:val="20"/>
          <w:szCs w:val="20"/>
          <w:vertAlign w:val="superscript"/>
        </w:rPr>
        <w:t>-1</w:t>
      </w:r>
      <w:r>
        <w:rPr>
          <w:rFonts w:ascii="Verdana" w:hAnsi="Verdana"/>
          <w:sz w:val="20"/>
          <w:szCs w:val="20"/>
        </w:rPr>
        <w:t>). No trend was observed during summer and spring in Durban. The two stations of Limpopo were also characterised by declining trends in summer: Polokwane (-0.01 hr yr</w:t>
      </w:r>
      <w:r>
        <w:rPr>
          <w:rFonts w:ascii="Verdana" w:hAnsi="Verdana"/>
          <w:sz w:val="20"/>
          <w:szCs w:val="20"/>
          <w:vertAlign w:val="superscript"/>
        </w:rPr>
        <w:t>-1</w:t>
      </w:r>
      <w:r>
        <w:rPr>
          <w:rFonts w:ascii="Verdana" w:hAnsi="Verdana"/>
          <w:sz w:val="20"/>
          <w:szCs w:val="20"/>
        </w:rPr>
        <w:t>) and Thohoyandou (-0.01 hr yr</w:t>
      </w:r>
      <w:r>
        <w:rPr>
          <w:rFonts w:ascii="Verdana" w:hAnsi="Verdana"/>
          <w:sz w:val="20"/>
          <w:szCs w:val="20"/>
          <w:vertAlign w:val="superscript"/>
        </w:rPr>
        <w:t>-1</w:t>
      </w:r>
      <w:r>
        <w:rPr>
          <w:rFonts w:ascii="Verdana" w:hAnsi="Verdana"/>
          <w:sz w:val="20"/>
          <w:szCs w:val="20"/>
        </w:rPr>
        <w:t>). North West province (Mafikeng), however, displayed a declining trend only in summer (-0.01 hr yr</w:t>
      </w:r>
      <w:r>
        <w:rPr>
          <w:rFonts w:ascii="Verdana" w:hAnsi="Verdana"/>
          <w:sz w:val="20"/>
          <w:szCs w:val="20"/>
          <w:vertAlign w:val="superscript"/>
        </w:rPr>
        <w:t>-1</w:t>
      </w:r>
      <w:r>
        <w:rPr>
          <w:rFonts w:ascii="Verdana" w:hAnsi="Verdana"/>
          <w:sz w:val="20"/>
          <w:szCs w:val="20"/>
        </w:rPr>
        <w:t>), and in other seasons showed an increasing trend: autumn (0.01 hr yr</w:t>
      </w:r>
      <w:r>
        <w:rPr>
          <w:rFonts w:ascii="Verdana" w:hAnsi="Verdana"/>
          <w:sz w:val="20"/>
          <w:szCs w:val="20"/>
          <w:vertAlign w:val="superscript"/>
        </w:rPr>
        <w:t>-1</w:t>
      </w:r>
      <w:r>
        <w:rPr>
          <w:rFonts w:ascii="Verdana" w:hAnsi="Verdana"/>
          <w:sz w:val="20"/>
          <w:szCs w:val="20"/>
        </w:rPr>
        <w:t>), winter (0.01* hr yr</w:t>
      </w:r>
      <w:r>
        <w:rPr>
          <w:rFonts w:ascii="Verdana" w:hAnsi="Verdana"/>
          <w:sz w:val="20"/>
          <w:szCs w:val="20"/>
          <w:vertAlign w:val="superscript"/>
        </w:rPr>
        <w:t>-1</w:t>
      </w:r>
      <w:r>
        <w:rPr>
          <w:rFonts w:ascii="Verdana" w:hAnsi="Verdana"/>
          <w:sz w:val="20"/>
          <w:szCs w:val="20"/>
        </w:rPr>
        <w:t>), and spring (0.02 hr yr</w:t>
      </w:r>
      <w:r>
        <w:rPr>
          <w:rFonts w:ascii="Verdana" w:hAnsi="Verdana"/>
          <w:sz w:val="20"/>
          <w:szCs w:val="20"/>
          <w:vertAlign w:val="superscript"/>
        </w:rPr>
        <w:t>-1</w:t>
      </w:r>
      <w:r>
        <w:rPr>
          <w:rFonts w:ascii="Verdana" w:hAnsi="Verdana"/>
          <w:sz w:val="20"/>
          <w:szCs w:val="20"/>
        </w:rPr>
        <w:t>). The SD in the Western Cape (Cape Town) did not show any trend in most of the seasons, except an increasing trend in summer (0.01* hr yr</w:t>
      </w:r>
      <w:r>
        <w:rPr>
          <w:rFonts w:ascii="Verdana" w:hAnsi="Verdana"/>
          <w:sz w:val="20"/>
          <w:szCs w:val="20"/>
          <w:vertAlign w:val="superscript"/>
        </w:rPr>
        <w:t>-1</w:t>
      </w:r>
      <w:r>
        <w:rPr>
          <w:rFonts w:ascii="Verdana" w:hAnsi="Verdana"/>
          <w:sz w:val="20"/>
          <w:szCs w:val="20"/>
        </w:rPr>
        <w:t>).</w:t>
      </w:r>
    </w:p>
    <w:p w14:paraId="749B3CD0" w14:textId="77777777" w:rsidR="0022258D" w:rsidRDefault="0022258D" w:rsidP="0022258D">
      <w:pPr>
        <w:pStyle w:val="NormalWeb"/>
        <w:rPr>
          <w:rFonts w:ascii="Verdana" w:hAnsi="Verdana"/>
          <w:sz w:val="19"/>
          <w:szCs w:val="19"/>
        </w:rPr>
      </w:pPr>
      <w:r>
        <w:rPr>
          <w:rFonts w:ascii="Verdana" w:hAnsi="Verdana"/>
          <w:sz w:val="20"/>
          <w:szCs w:val="20"/>
        </w:rPr>
        <w:t>Mpumalanga (</w:t>
      </w:r>
      <w:proofErr w:type="spellStart"/>
      <w:r>
        <w:rPr>
          <w:rFonts w:ascii="Verdana" w:hAnsi="Verdana"/>
          <w:sz w:val="20"/>
          <w:szCs w:val="20"/>
        </w:rPr>
        <w:t>Bethal</w:t>
      </w:r>
      <w:proofErr w:type="spellEnd"/>
      <w:r>
        <w:rPr>
          <w:rFonts w:ascii="Verdana" w:hAnsi="Verdana"/>
          <w:sz w:val="20"/>
          <w:szCs w:val="20"/>
        </w:rPr>
        <w:t>) showed a declining SD trend in all the seasons except spring, when there was no trend. A maximum decline in SD (-0.04* hr yr</w:t>
      </w:r>
      <w:r>
        <w:rPr>
          <w:rFonts w:ascii="Verdana" w:hAnsi="Verdana"/>
          <w:sz w:val="20"/>
          <w:szCs w:val="20"/>
          <w:vertAlign w:val="superscript"/>
        </w:rPr>
        <w:t>-1</w:t>
      </w:r>
      <w:r>
        <w:rPr>
          <w:rFonts w:ascii="Verdana" w:hAnsi="Verdana"/>
          <w:sz w:val="20"/>
          <w:szCs w:val="20"/>
        </w:rPr>
        <w:t>) over this station during summer was also observed. There are many thermal power stations in Mpumalanga (</w:t>
      </w:r>
      <w:hyperlink r:id="rId59" w:tgtFrame="_blank" w:history="1">
        <w:r>
          <w:rPr>
            <w:rStyle w:val="Hyperlink"/>
            <w:rFonts w:ascii="Verdana" w:hAnsi="Verdana"/>
            <w:sz w:val="20"/>
            <w:szCs w:val="20"/>
          </w:rPr>
          <w:t>http://www.eskom.co.za/sites/her-itage/Documents/Mpumalanga90th.pdf</w:t>
        </w:r>
      </w:hyperlink>
      <w:r>
        <w:rPr>
          <w:rFonts w:ascii="Verdana" w:hAnsi="Verdana"/>
          <w:sz w:val="20"/>
          <w:szCs w:val="20"/>
        </w:rPr>
        <w:t xml:space="preserve">). Eskom Komati power station near </w:t>
      </w:r>
      <w:proofErr w:type="spellStart"/>
      <w:r>
        <w:rPr>
          <w:rFonts w:ascii="Verdana" w:hAnsi="Verdana"/>
          <w:sz w:val="20"/>
          <w:szCs w:val="20"/>
        </w:rPr>
        <w:t>Bethal</w:t>
      </w:r>
      <w:proofErr w:type="spellEnd"/>
      <w:r>
        <w:rPr>
          <w:rFonts w:ascii="Verdana" w:hAnsi="Verdana"/>
          <w:sz w:val="20"/>
          <w:szCs w:val="20"/>
        </w:rPr>
        <w:t xml:space="preserve"> consumes 10 000 tonnes of coal per day (Singer, 2010). Coal-fired power plants produce many pollutants like sulphur dioxide, nitrogen oxides, ash, and particulate matter. An increase in atmospheric load because of the particulate matter might account for a decrease in the incoming solar radiation.</w:t>
      </w:r>
    </w:p>
    <w:p w14:paraId="0278FBF7" w14:textId="77777777" w:rsidR="0022258D" w:rsidRDefault="0022258D" w:rsidP="0022258D">
      <w:pPr>
        <w:pStyle w:val="NormalWeb"/>
        <w:rPr>
          <w:rFonts w:ascii="Verdana" w:hAnsi="Verdana"/>
          <w:sz w:val="19"/>
          <w:szCs w:val="19"/>
        </w:rPr>
      </w:pPr>
      <w:r>
        <w:rPr>
          <w:rFonts w:ascii="Verdana" w:hAnsi="Verdana"/>
          <w:sz w:val="20"/>
          <w:szCs w:val="20"/>
        </w:rPr>
        <w:t>Gauteng, also in summer, displayed a decreasing SD trend at all three stations: Irene (-0.02 hr yr</w:t>
      </w:r>
      <w:r>
        <w:rPr>
          <w:rFonts w:ascii="Verdana" w:hAnsi="Verdana"/>
          <w:sz w:val="20"/>
          <w:szCs w:val="20"/>
          <w:vertAlign w:val="superscript"/>
        </w:rPr>
        <w:t>-1</w:t>
      </w:r>
      <w:r>
        <w:rPr>
          <w:rFonts w:ascii="Verdana" w:hAnsi="Verdana"/>
          <w:sz w:val="20"/>
          <w:szCs w:val="20"/>
        </w:rPr>
        <w:t>), Pretoria (-0.01 hr yr</w:t>
      </w:r>
      <w:r>
        <w:rPr>
          <w:rFonts w:ascii="Verdana" w:hAnsi="Verdana"/>
          <w:sz w:val="20"/>
          <w:szCs w:val="20"/>
          <w:vertAlign w:val="superscript"/>
        </w:rPr>
        <w:t>-1</w:t>
      </w:r>
      <w:r>
        <w:rPr>
          <w:rFonts w:ascii="Verdana" w:hAnsi="Verdana"/>
          <w:sz w:val="20"/>
          <w:szCs w:val="20"/>
        </w:rPr>
        <w:t>) and Johannesburg (0.02* hr yr</w:t>
      </w:r>
      <w:r>
        <w:rPr>
          <w:rFonts w:ascii="Verdana" w:hAnsi="Verdana"/>
          <w:sz w:val="20"/>
          <w:szCs w:val="20"/>
          <w:vertAlign w:val="superscript"/>
        </w:rPr>
        <w:t>-1</w:t>
      </w:r>
      <w:r>
        <w:rPr>
          <w:rFonts w:ascii="Verdana" w:hAnsi="Verdana"/>
          <w:sz w:val="20"/>
          <w:szCs w:val="20"/>
        </w:rPr>
        <w:t>). Irene, however, was characterised by maximum decreasing trend during autumn (-0.03* hr yr</w:t>
      </w:r>
      <w:r>
        <w:rPr>
          <w:rFonts w:ascii="Verdana" w:hAnsi="Verdana"/>
          <w:sz w:val="20"/>
          <w:szCs w:val="20"/>
          <w:vertAlign w:val="superscript"/>
        </w:rPr>
        <w:t>-1</w:t>
      </w:r>
      <w:r>
        <w:rPr>
          <w:rFonts w:ascii="Verdana" w:hAnsi="Verdana"/>
          <w:sz w:val="20"/>
          <w:szCs w:val="20"/>
        </w:rPr>
        <w:t>). In this province, Johannesburg was the only station with a declining SD trend in all the seasons except winter (no trend). Johannesburg, Bloemfontein and Pretoria, as the largest cities in the interior, all showed a declining trend in SD during summer. Johannesburg is densely populated and the economic capital of South Africa, with road traffic, biomass burning and industrial activities contributing to the particulate and gaseous pollutants. The city is also near the industrialised region of Mpumalanga (100 km west) and Vaal Triangle (50 km south) and these areas also influence its air quality (</w:t>
      </w:r>
      <w:proofErr w:type="spellStart"/>
      <w:r>
        <w:rPr>
          <w:rFonts w:ascii="Verdana" w:hAnsi="Verdana"/>
          <w:sz w:val="20"/>
          <w:szCs w:val="20"/>
        </w:rPr>
        <w:t>Aurela</w:t>
      </w:r>
      <w:proofErr w:type="spellEnd"/>
      <w:r>
        <w:rPr>
          <w:rFonts w:ascii="Verdana" w:hAnsi="Verdana"/>
          <w:sz w:val="20"/>
          <w:szCs w:val="20"/>
        </w:rPr>
        <w:t xml:space="preserve"> et al., 2016).</w:t>
      </w:r>
    </w:p>
    <w:p w14:paraId="7666E4B4" w14:textId="77777777" w:rsidR="0022258D" w:rsidRDefault="0022258D" w:rsidP="0022258D">
      <w:pPr>
        <w:pStyle w:val="NormalWeb"/>
        <w:rPr>
          <w:rFonts w:ascii="Verdana" w:hAnsi="Verdana"/>
          <w:sz w:val="19"/>
          <w:szCs w:val="19"/>
        </w:rPr>
      </w:pPr>
      <w:r>
        <w:rPr>
          <w:rFonts w:ascii="Verdana" w:hAnsi="Verdana"/>
          <w:sz w:val="20"/>
          <w:szCs w:val="20"/>
        </w:rPr>
        <w:t xml:space="preserve">During summer most of the stations showed a decreasing trend except Cape Town and </w:t>
      </w:r>
      <w:proofErr w:type="spellStart"/>
      <w:r>
        <w:rPr>
          <w:rFonts w:ascii="Verdana" w:hAnsi="Verdana"/>
          <w:sz w:val="20"/>
          <w:szCs w:val="20"/>
        </w:rPr>
        <w:t>Calvinia</w:t>
      </w:r>
      <w:proofErr w:type="spellEnd"/>
      <w:r>
        <w:rPr>
          <w:rFonts w:ascii="Verdana" w:hAnsi="Verdana"/>
          <w:sz w:val="20"/>
          <w:szCs w:val="20"/>
        </w:rPr>
        <w:t xml:space="preserve">. Upington, Springbok and Durban, however, displayed no trend in SD in summer. In summer, out of the total number of stations (22), 17 stations showed declining trends with 7 of them statistically significant. In autumn, 8 stations showed declines with 3 significant, in winter 7 and 3, and spring 3 with 0 significant. The decrease in SD in summer was likely caused by cloudier conditions. The inverted triangles in </w:t>
      </w:r>
      <w:hyperlink r:id="rId60" w:history="1">
        <w:r>
          <w:rPr>
            <w:rStyle w:val="Hyperlink"/>
            <w:rFonts w:ascii="Verdana" w:hAnsi="Verdana"/>
            <w:sz w:val="20"/>
            <w:szCs w:val="20"/>
          </w:rPr>
          <w:t>Figure 2</w:t>
        </w:r>
      </w:hyperlink>
      <w:r>
        <w:rPr>
          <w:rFonts w:ascii="Verdana" w:hAnsi="Verdana"/>
          <w:sz w:val="20"/>
          <w:szCs w:val="20"/>
        </w:rPr>
        <w:t xml:space="preserve"> indicate a decline in SD, while upright triangles show the increasing trend. The size of the triangles signifies the magnitude of decrease or increase. From </w:t>
      </w:r>
      <w:hyperlink r:id="rId61" w:history="1">
        <w:r>
          <w:rPr>
            <w:rStyle w:val="Hyperlink"/>
            <w:rFonts w:ascii="Verdana" w:hAnsi="Verdana"/>
            <w:sz w:val="20"/>
            <w:szCs w:val="20"/>
          </w:rPr>
          <w:t>Figure 2</w:t>
        </w:r>
      </w:hyperlink>
      <w:r>
        <w:rPr>
          <w:rFonts w:ascii="Verdana" w:hAnsi="Verdana"/>
          <w:sz w:val="20"/>
          <w:szCs w:val="20"/>
        </w:rPr>
        <w:t>, there are more inverted triangles than upright ones during summer (</w:t>
      </w:r>
      <w:hyperlink r:id="rId62" w:history="1">
        <w:r>
          <w:rPr>
            <w:rStyle w:val="Hyperlink"/>
            <w:rFonts w:ascii="Verdana" w:hAnsi="Verdana"/>
            <w:sz w:val="20"/>
            <w:szCs w:val="20"/>
          </w:rPr>
          <w:t>Figure 2a</w:t>
        </w:r>
      </w:hyperlink>
      <w:r>
        <w:rPr>
          <w:rFonts w:ascii="Verdana" w:hAnsi="Verdana"/>
          <w:sz w:val="20"/>
          <w:szCs w:val="20"/>
        </w:rPr>
        <w:t>), followed by autumn (</w:t>
      </w:r>
      <w:hyperlink r:id="rId63" w:history="1">
        <w:r>
          <w:rPr>
            <w:rStyle w:val="Hyperlink"/>
            <w:rFonts w:ascii="Verdana" w:hAnsi="Verdana"/>
            <w:sz w:val="20"/>
            <w:szCs w:val="20"/>
          </w:rPr>
          <w:t>Figure 2b</w:t>
        </w:r>
      </w:hyperlink>
      <w:r>
        <w:rPr>
          <w:rFonts w:ascii="Verdana" w:hAnsi="Verdana"/>
          <w:sz w:val="20"/>
          <w:szCs w:val="20"/>
        </w:rPr>
        <w:t>).</w:t>
      </w:r>
    </w:p>
    <w:p w14:paraId="6460D383" w14:textId="77777777" w:rsidR="0022258D" w:rsidRDefault="0022258D" w:rsidP="0022258D">
      <w:pPr>
        <w:pStyle w:val="NormalWeb"/>
        <w:rPr>
          <w:rFonts w:ascii="Verdana" w:hAnsi="Verdana"/>
          <w:sz w:val="19"/>
          <w:szCs w:val="19"/>
        </w:rPr>
      </w:pPr>
      <w:r>
        <w:rPr>
          <w:rFonts w:ascii="Verdana" w:hAnsi="Verdana"/>
          <w:sz w:val="20"/>
          <w:szCs w:val="20"/>
        </w:rPr>
        <w:t xml:space="preserve">The SD trends in </w:t>
      </w:r>
      <w:hyperlink r:id="rId64" w:history="1">
        <w:r>
          <w:rPr>
            <w:rStyle w:val="Hyperlink"/>
            <w:rFonts w:ascii="Verdana" w:hAnsi="Verdana"/>
            <w:sz w:val="20"/>
            <w:szCs w:val="20"/>
          </w:rPr>
          <w:t>Figure 2</w:t>
        </w:r>
      </w:hyperlink>
      <w:r>
        <w:rPr>
          <w:rFonts w:ascii="Verdana" w:hAnsi="Verdana"/>
          <w:sz w:val="20"/>
          <w:szCs w:val="20"/>
        </w:rPr>
        <w:t xml:space="preserve"> accord with the decreasing trend in worldwide solar radiation (Wild, 2009). Several studies have explained the decrease in solar radiation in past decades by an increase in aerosol concentrations and cloud cover (Singh et al., 2012; Wild 2009; Liepert and </w:t>
      </w:r>
      <w:proofErr w:type="spellStart"/>
      <w:r>
        <w:rPr>
          <w:rFonts w:ascii="Verdana" w:hAnsi="Verdana"/>
          <w:sz w:val="20"/>
          <w:szCs w:val="20"/>
        </w:rPr>
        <w:t>Kukla</w:t>
      </w:r>
      <w:proofErr w:type="spellEnd"/>
      <w:r>
        <w:rPr>
          <w:rFonts w:ascii="Verdana" w:hAnsi="Verdana"/>
          <w:sz w:val="20"/>
          <w:szCs w:val="20"/>
        </w:rPr>
        <w:t xml:space="preserve"> 1997).</w:t>
      </w:r>
    </w:p>
    <w:p w14:paraId="719F3EC0" w14:textId="77777777" w:rsidR="0022258D" w:rsidRDefault="0022258D" w:rsidP="0022258D">
      <w:pPr>
        <w:pStyle w:val="NormalWeb"/>
        <w:rPr>
          <w:rFonts w:ascii="Verdana" w:hAnsi="Verdana"/>
          <w:sz w:val="19"/>
          <w:szCs w:val="19"/>
        </w:rPr>
      </w:pPr>
      <w:r>
        <w:rPr>
          <w:rFonts w:ascii="Verdana" w:hAnsi="Verdana"/>
          <w:sz w:val="20"/>
          <w:szCs w:val="20"/>
        </w:rPr>
        <w:t xml:space="preserve">Summer in South Africa is the main rainfall season except for the western and southern Cape regions. Clouds can absorb and reflect the incoming solar radiation </w:t>
      </w:r>
      <w:proofErr w:type="gramStart"/>
      <w:r>
        <w:rPr>
          <w:rFonts w:ascii="Verdana" w:hAnsi="Verdana"/>
          <w:sz w:val="20"/>
          <w:szCs w:val="20"/>
        </w:rPr>
        <w:t>and in this way</w:t>
      </w:r>
      <w:proofErr w:type="gramEnd"/>
      <w:r>
        <w:rPr>
          <w:rFonts w:ascii="Verdana" w:hAnsi="Verdana"/>
          <w:sz w:val="20"/>
          <w:szCs w:val="20"/>
        </w:rPr>
        <w:t xml:space="preserve"> play an important role in the decline of solar radiation. Kruger (2007) observed a decline in total cloud cover over South Africa for the period 1960-2005, with the decline at a minimum during autumn and summer. The current analyses also showed that a decrease in SD was at a maximum in summer, followed by autumn. Southern and south-western parts of the country also experienced an increase in cloud cover (Kruger, 2007), which could explain the significant decrease in SD in </w:t>
      </w:r>
      <w:proofErr w:type="spellStart"/>
      <w:r>
        <w:rPr>
          <w:rFonts w:ascii="Verdana" w:hAnsi="Verdana"/>
          <w:sz w:val="20"/>
          <w:szCs w:val="20"/>
        </w:rPr>
        <w:t>Willowmore</w:t>
      </w:r>
      <w:proofErr w:type="spellEnd"/>
      <w:r>
        <w:rPr>
          <w:rFonts w:ascii="Verdana" w:hAnsi="Verdana"/>
          <w:sz w:val="20"/>
          <w:szCs w:val="20"/>
        </w:rPr>
        <w:t xml:space="preserve"> (-0.03* hr yr</w:t>
      </w:r>
      <w:r>
        <w:rPr>
          <w:rFonts w:ascii="Verdana" w:hAnsi="Verdana"/>
          <w:sz w:val="20"/>
          <w:szCs w:val="20"/>
          <w:vertAlign w:val="superscript"/>
        </w:rPr>
        <w:t>-1</w:t>
      </w:r>
      <w:r>
        <w:rPr>
          <w:rFonts w:ascii="Verdana" w:hAnsi="Verdana"/>
          <w:sz w:val="20"/>
          <w:szCs w:val="20"/>
        </w:rPr>
        <w:t>), Sutherland (-0.03* hr yr</w:t>
      </w:r>
      <w:r>
        <w:rPr>
          <w:rFonts w:ascii="Verdana" w:hAnsi="Verdana"/>
          <w:sz w:val="20"/>
          <w:szCs w:val="20"/>
          <w:vertAlign w:val="superscript"/>
        </w:rPr>
        <w:t>-1</w:t>
      </w:r>
      <w:r>
        <w:rPr>
          <w:rFonts w:ascii="Verdana" w:hAnsi="Verdana"/>
          <w:sz w:val="20"/>
          <w:szCs w:val="20"/>
        </w:rPr>
        <w:t>), and Port Elizabeth (0.01* hr yr</w:t>
      </w:r>
      <w:r>
        <w:rPr>
          <w:rFonts w:ascii="Verdana" w:hAnsi="Verdana"/>
          <w:sz w:val="20"/>
          <w:szCs w:val="20"/>
          <w:vertAlign w:val="superscript"/>
        </w:rPr>
        <w:t>-1</w:t>
      </w:r>
      <w:r>
        <w:rPr>
          <w:rFonts w:ascii="Verdana" w:hAnsi="Verdana"/>
          <w:sz w:val="20"/>
          <w:szCs w:val="20"/>
        </w:rPr>
        <w:t xml:space="preserve">). Studies have confirmed that a decline in solar radiation during cloudy conditions was greater than with clear skies (Wang et al., </w:t>
      </w:r>
      <w:r>
        <w:rPr>
          <w:rFonts w:ascii="Verdana" w:hAnsi="Verdana"/>
          <w:sz w:val="20"/>
          <w:szCs w:val="20"/>
        </w:rPr>
        <w:lastRenderedPageBreak/>
        <w:t xml:space="preserve">2014; Liepert and </w:t>
      </w:r>
      <w:proofErr w:type="spellStart"/>
      <w:r>
        <w:rPr>
          <w:rFonts w:ascii="Verdana" w:hAnsi="Verdana"/>
          <w:sz w:val="20"/>
          <w:szCs w:val="20"/>
        </w:rPr>
        <w:t>Kukla</w:t>
      </w:r>
      <w:proofErr w:type="spellEnd"/>
      <w:r>
        <w:rPr>
          <w:rFonts w:ascii="Verdana" w:hAnsi="Verdana"/>
          <w:sz w:val="20"/>
          <w:szCs w:val="20"/>
        </w:rPr>
        <w:t xml:space="preserve"> 1997). Aerosols are mainly responsible for the decline in solar radiation during clear sky conditions.</w:t>
      </w:r>
    </w:p>
    <w:p w14:paraId="053736C0" w14:textId="77777777" w:rsidR="0022258D" w:rsidRDefault="0022258D" w:rsidP="0022258D">
      <w:pPr>
        <w:pStyle w:val="NormalWeb"/>
        <w:rPr>
          <w:rFonts w:ascii="Verdana" w:hAnsi="Verdana"/>
          <w:sz w:val="19"/>
          <w:szCs w:val="19"/>
        </w:rPr>
      </w:pPr>
      <w:r>
        <w:rPr>
          <w:rFonts w:ascii="Verdana" w:hAnsi="Verdana"/>
          <w:b/>
          <w:bCs/>
          <w:i/>
          <w:iCs/>
          <w:sz w:val="20"/>
          <w:szCs w:val="20"/>
        </w:rPr>
        <w:t>4.2 Change detection in SIS</w:t>
      </w:r>
    </w:p>
    <w:p w14:paraId="323C25EA" w14:textId="092C135A" w:rsidR="0022258D" w:rsidRDefault="0022258D" w:rsidP="0022258D">
      <w:pPr>
        <w:pStyle w:val="NormalWeb"/>
        <w:rPr>
          <w:rFonts w:ascii="Verdana" w:hAnsi="Verdana"/>
          <w:sz w:val="20"/>
          <w:szCs w:val="20"/>
        </w:rPr>
      </w:pPr>
      <w:r>
        <w:rPr>
          <w:rFonts w:ascii="Verdana" w:hAnsi="Verdana"/>
          <w:sz w:val="20"/>
          <w:szCs w:val="20"/>
        </w:rPr>
        <w:t xml:space="preserve">This investigation endeavoured to identify the differences in SIS over different time periods. The calculations explained in </w:t>
      </w:r>
      <w:r w:rsidRPr="008C164D">
        <w:rPr>
          <w:rFonts w:ascii="Verdana" w:hAnsi="Verdana"/>
          <w:sz w:val="20"/>
          <w:szCs w:val="20"/>
          <w:highlight w:val="yellow"/>
        </w:rPr>
        <w:t>Section 3</w:t>
      </w:r>
      <w:r>
        <w:rPr>
          <w:rFonts w:ascii="Verdana" w:hAnsi="Verdana"/>
          <w:sz w:val="20"/>
          <w:szCs w:val="20"/>
        </w:rPr>
        <w:t xml:space="preserve"> showed that the </w:t>
      </w:r>
      <w:r w:rsidRPr="006D0556">
        <w:rPr>
          <w:rFonts w:ascii="Verdana" w:hAnsi="Verdana"/>
          <w:sz w:val="20"/>
          <w:szCs w:val="20"/>
          <w:highlight w:val="yellow"/>
        </w:rPr>
        <w:t>positive change was associated with a decreasing trend</w:t>
      </w:r>
      <w:r>
        <w:rPr>
          <w:rFonts w:ascii="Verdana" w:hAnsi="Verdana"/>
          <w:sz w:val="20"/>
          <w:szCs w:val="20"/>
        </w:rPr>
        <w:t xml:space="preserve">, while a </w:t>
      </w:r>
      <w:r w:rsidRPr="008E735C">
        <w:rPr>
          <w:rFonts w:ascii="Verdana" w:hAnsi="Verdana"/>
          <w:sz w:val="20"/>
          <w:szCs w:val="20"/>
          <w:highlight w:val="yellow"/>
        </w:rPr>
        <w:t>negative change with an increasing trend</w:t>
      </w:r>
      <w:r>
        <w:rPr>
          <w:rFonts w:ascii="Verdana" w:hAnsi="Verdana"/>
          <w:sz w:val="20"/>
          <w:szCs w:val="20"/>
        </w:rPr>
        <w:t xml:space="preserve">. The </w:t>
      </w:r>
      <w:r w:rsidRPr="008E735C">
        <w:rPr>
          <w:rFonts w:ascii="Verdana" w:hAnsi="Verdana"/>
          <w:sz w:val="20"/>
          <w:szCs w:val="20"/>
          <w:highlight w:val="yellow"/>
        </w:rPr>
        <w:t>positive</w:t>
      </w:r>
      <w:r>
        <w:rPr>
          <w:rFonts w:ascii="Verdana" w:hAnsi="Verdana"/>
          <w:sz w:val="20"/>
          <w:szCs w:val="20"/>
        </w:rPr>
        <w:t xml:space="preserve"> and </w:t>
      </w:r>
      <w:r w:rsidRPr="008E735C">
        <w:rPr>
          <w:rFonts w:ascii="Verdana" w:hAnsi="Verdana"/>
          <w:sz w:val="20"/>
          <w:szCs w:val="20"/>
          <w:highlight w:val="yellow"/>
        </w:rPr>
        <w:t>negative</w:t>
      </w:r>
      <w:r>
        <w:rPr>
          <w:rFonts w:ascii="Verdana" w:hAnsi="Verdana"/>
          <w:sz w:val="20"/>
          <w:szCs w:val="20"/>
        </w:rPr>
        <w:t xml:space="preserve"> changes are shown in blue and yellow/red, respectively, in </w:t>
      </w:r>
      <w:hyperlink r:id="rId65" w:history="1">
        <w:r>
          <w:rPr>
            <w:rStyle w:val="Hyperlink"/>
            <w:rFonts w:ascii="Verdana" w:hAnsi="Verdana"/>
            <w:sz w:val="20"/>
            <w:szCs w:val="20"/>
          </w:rPr>
          <w:t>Figure 3</w:t>
        </w:r>
      </w:hyperlink>
      <w:r>
        <w:rPr>
          <w:rFonts w:ascii="Verdana" w:hAnsi="Verdana"/>
          <w:sz w:val="20"/>
          <w:szCs w:val="20"/>
        </w:rPr>
        <w:t>.</w:t>
      </w:r>
    </w:p>
    <w:p w14:paraId="7AEF142C" w14:textId="2F71BAED" w:rsidR="00580417" w:rsidRDefault="00580417" w:rsidP="0022258D">
      <w:pPr>
        <w:pStyle w:val="NormalWeb"/>
        <w:rPr>
          <w:rFonts w:ascii="Verdana" w:hAnsi="Verdana"/>
          <w:sz w:val="19"/>
          <w:szCs w:val="19"/>
        </w:rPr>
      </w:pPr>
      <w:r>
        <w:rPr>
          <w:noProof/>
        </w:rPr>
        <w:drawing>
          <wp:inline distT="0" distB="0" distL="0" distR="0" wp14:anchorId="03E70F7F" wp14:editId="1BCA6886">
            <wp:extent cx="5731510" cy="5963285"/>
            <wp:effectExtent l="0" t="0" r="2540" b="0"/>
            <wp:docPr id="5" name="Picture 5" descr="http://www.scielo.org.za/img/revistas/jesa/v28n2/05f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scielo.org.za/img/revistas/jesa/v28n2/05f03.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731510" cy="5963285"/>
                    </a:xfrm>
                    <a:prstGeom prst="rect">
                      <a:avLst/>
                    </a:prstGeom>
                    <a:noFill/>
                    <a:ln>
                      <a:noFill/>
                    </a:ln>
                  </pic:spPr>
                </pic:pic>
              </a:graphicData>
            </a:graphic>
          </wp:inline>
        </w:drawing>
      </w:r>
    </w:p>
    <w:p w14:paraId="48874465" w14:textId="77777777" w:rsidR="0022258D" w:rsidRDefault="0022258D" w:rsidP="0022258D">
      <w:pPr>
        <w:pStyle w:val="NormalWeb"/>
        <w:rPr>
          <w:rFonts w:ascii="Verdana" w:hAnsi="Verdana"/>
          <w:sz w:val="19"/>
          <w:szCs w:val="19"/>
        </w:rPr>
      </w:pPr>
      <w:r>
        <w:rPr>
          <w:rFonts w:ascii="Verdana" w:hAnsi="Verdana"/>
          <w:sz w:val="20"/>
          <w:szCs w:val="20"/>
        </w:rPr>
        <w:t xml:space="preserve">Cape Town </w:t>
      </w:r>
      <w:r w:rsidRPr="006A1F5F">
        <w:rPr>
          <w:rFonts w:ascii="Verdana" w:hAnsi="Verdana"/>
          <w:sz w:val="20"/>
          <w:szCs w:val="20"/>
          <w:highlight w:val="yellow"/>
        </w:rPr>
        <w:t>showed a positive or no SD trend in all seasons</w:t>
      </w:r>
      <w:r>
        <w:rPr>
          <w:rFonts w:ascii="Verdana" w:hAnsi="Verdana"/>
          <w:sz w:val="20"/>
          <w:szCs w:val="20"/>
        </w:rPr>
        <w:t xml:space="preserve">. The SIS data also showed that, in almost all seasons, </w:t>
      </w:r>
      <w:r w:rsidRPr="00814602">
        <w:rPr>
          <w:rFonts w:ascii="Verdana" w:hAnsi="Verdana"/>
          <w:sz w:val="20"/>
          <w:szCs w:val="20"/>
          <w:highlight w:val="yellow"/>
        </w:rPr>
        <w:t>the change was negative</w:t>
      </w:r>
      <w:r>
        <w:rPr>
          <w:rFonts w:ascii="Verdana" w:hAnsi="Verdana"/>
          <w:sz w:val="20"/>
          <w:szCs w:val="20"/>
        </w:rPr>
        <w:t xml:space="preserve">, meaning that the amount of incoming </w:t>
      </w:r>
      <w:r w:rsidRPr="00A45D5F">
        <w:rPr>
          <w:rFonts w:ascii="Verdana" w:hAnsi="Verdana"/>
          <w:sz w:val="20"/>
          <w:szCs w:val="20"/>
          <w:highlight w:val="yellow"/>
        </w:rPr>
        <w:t>solar radiation over this region followed a positive trend</w:t>
      </w:r>
      <w:r>
        <w:rPr>
          <w:rFonts w:ascii="Verdana" w:hAnsi="Verdana"/>
          <w:sz w:val="20"/>
          <w:szCs w:val="20"/>
        </w:rPr>
        <w:t xml:space="preserve">. Satellite data of SIS and SD trend results showed approximately the same behaviour, i.e. a decrease in SIS over most of the country, except for the south-western Cape and some areas in the west of the Northern Cape and the interior of the Western Cape. Autumn showed SIS trends </w:t>
      </w:r>
      <w:proofErr w:type="gramStart"/>
      <w:r>
        <w:rPr>
          <w:rFonts w:ascii="Verdana" w:hAnsi="Verdana"/>
          <w:sz w:val="20"/>
          <w:szCs w:val="20"/>
        </w:rPr>
        <w:lastRenderedPageBreak/>
        <w:t>similar to</w:t>
      </w:r>
      <w:proofErr w:type="gramEnd"/>
      <w:r>
        <w:rPr>
          <w:rFonts w:ascii="Verdana" w:hAnsi="Verdana"/>
          <w:sz w:val="20"/>
          <w:szCs w:val="20"/>
        </w:rPr>
        <w:t xml:space="preserve"> those of summer, but with the SARAH data showing, for most regions, little change over the 1983-2013 period. The decreasing trend was evident in the winter season from the SARAH data. The only stations with significantly positive trends were </w:t>
      </w:r>
      <w:proofErr w:type="spellStart"/>
      <w:r>
        <w:rPr>
          <w:rFonts w:ascii="Verdana" w:hAnsi="Verdana"/>
          <w:sz w:val="20"/>
          <w:szCs w:val="20"/>
        </w:rPr>
        <w:t>Calvinia</w:t>
      </w:r>
      <w:proofErr w:type="spellEnd"/>
      <w:r>
        <w:rPr>
          <w:rFonts w:ascii="Verdana" w:hAnsi="Verdana"/>
          <w:sz w:val="20"/>
          <w:szCs w:val="20"/>
        </w:rPr>
        <w:t xml:space="preserve"> in the southern Northern Cape and Mafikeng in North-West. Most of the country for spring showed a </w:t>
      </w:r>
      <w:r w:rsidRPr="00187761">
        <w:rPr>
          <w:rFonts w:ascii="Verdana" w:hAnsi="Verdana"/>
          <w:sz w:val="20"/>
          <w:szCs w:val="20"/>
          <w:highlight w:val="yellow"/>
        </w:rPr>
        <w:t>positive tendency of received radiation</w:t>
      </w:r>
      <w:r>
        <w:rPr>
          <w:rFonts w:ascii="Verdana" w:hAnsi="Verdana"/>
          <w:sz w:val="20"/>
          <w:szCs w:val="20"/>
        </w:rPr>
        <w:t>, in contrast with summer and autumn. Some areas in the western interior that showed large differences between the radiations received during 1997-2014 and 1983-1996, however, probably indicated strong positive trends.</w:t>
      </w:r>
    </w:p>
    <w:p w14:paraId="0857ADFD" w14:textId="77777777" w:rsidR="0022258D" w:rsidRDefault="0022258D" w:rsidP="0022258D">
      <w:pPr>
        <w:pStyle w:val="NormalWeb"/>
        <w:rPr>
          <w:rFonts w:ascii="Verdana" w:hAnsi="Verdana"/>
          <w:sz w:val="19"/>
          <w:szCs w:val="19"/>
        </w:rPr>
      </w:pPr>
      <w:r>
        <w:rPr>
          <w:rFonts w:ascii="Verdana" w:hAnsi="Verdana"/>
          <w:sz w:val="19"/>
          <w:szCs w:val="19"/>
        </w:rPr>
        <w:t> </w:t>
      </w:r>
    </w:p>
    <w:p w14:paraId="26BA677A" w14:textId="77777777" w:rsidR="0022258D" w:rsidRDefault="0022258D" w:rsidP="0022258D">
      <w:pPr>
        <w:pStyle w:val="NormalWeb"/>
        <w:rPr>
          <w:rFonts w:ascii="Verdana" w:hAnsi="Verdana"/>
          <w:sz w:val="19"/>
          <w:szCs w:val="19"/>
        </w:rPr>
      </w:pPr>
      <w:r>
        <w:rPr>
          <w:rFonts w:ascii="Verdana" w:hAnsi="Verdana"/>
          <w:b/>
          <w:bCs/>
        </w:rPr>
        <w:t>5. Conclusions</w:t>
      </w:r>
    </w:p>
    <w:p w14:paraId="58207F5F" w14:textId="77777777" w:rsidR="0022258D" w:rsidRDefault="0022258D" w:rsidP="0022258D">
      <w:pPr>
        <w:pStyle w:val="NormalWeb"/>
        <w:rPr>
          <w:rFonts w:ascii="Verdana" w:hAnsi="Verdana"/>
          <w:sz w:val="19"/>
          <w:szCs w:val="19"/>
        </w:rPr>
      </w:pPr>
      <w:r>
        <w:rPr>
          <w:rFonts w:ascii="Verdana" w:hAnsi="Verdana"/>
          <w:sz w:val="20"/>
          <w:szCs w:val="20"/>
        </w:rPr>
        <w:t xml:space="preserve">This study set out to analyse long-term seasonal trends in sunshine hours using </w:t>
      </w:r>
      <w:r>
        <w:rPr>
          <w:rFonts w:ascii="Verdana" w:hAnsi="Verdana"/>
          <w:i/>
          <w:iCs/>
          <w:sz w:val="20"/>
          <w:szCs w:val="20"/>
        </w:rPr>
        <w:t xml:space="preserve">in situ </w:t>
      </w:r>
      <w:r>
        <w:rPr>
          <w:rFonts w:ascii="Verdana" w:hAnsi="Verdana"/>
          <w:sz w:val="20"/>
          <w:szCs w:val="20"/>
        </w:rPr>
        <w:t>SD and satellite CM-SAF, SARAH SIS data, with linear trend</w:t>
      </w:r>
    </w:p>
    <w:p w14:paraId="71C3475C" w14:textId="77777777" w:rsidR="0022258D" w:rsidRDefault="0022258D" w:rsidP="0022258D">
      <w:pPr>
        <w:pStyle w:val="NormalWeb"/>
        <w:rPr>
          <w:rFonts w:ascii="Verdana" w:hAnsi="Verdana"/>
          <w:sz w:val="19"/>
          <w:szCs w:val="19"/>
        </w:rPr>
      </w:pPr>
      <w:r>
        <w:rPr>
          <w:rFonts w:ascii="Verdana" w:hAnsi="Verdana"/>
          <w:sz w:val="20"/>
          <w:szCs w:val="20"/>
        </w:rPr>
        <w:t xml:space="preserve">analysis. </w:t>
      </w:r>
      <w:r w:rsidRPr="0012235E">
        <w:rPr>
          <w:rFonts w:ascii="Verdana" w:hAnsi="Verdana"/>
          <w:sz w:val="20"/>
          <w:szCs w:val="20"/>
          <w:highlight w:val="yellow"/>
        </w:rPr>
        <w:t>It was shown that a decline in SD occurred mostly in summer</w:t>
      </w:r>
      <w:r>
        <w:rPr>
          <w:rFonts w:ascii="Verdana" w:hAnsi="Verdana"/>
          <w:sz w:val="20"/>
          <w:szCs w:val="20"/>
        </w:rPr>
        <w:t xml:space="preserve">. </w:t>
      </w:r>
      <w:r w:rsidRPr="00EE55F2">
        <w:rPr>
          <w:rFonts w:ascii="Verdana" w:hAnsi="Verdana"/>
          <w:sz w:val="20"/>
          <w:szCs w:val="20"/>
          <w:highlight w:val="yellow"/>
        </w:rPr>
        <w:t>The results from the satellite-derived radiation SIS matched with the SD trend in summer</w:t>
      </w:r>
      <w:r>
        <w:rPr>
          <w:rFonts w:ascii="Verdana" w:hAnsi="Verdana"/>
          <w:sz w:val="20"/>
          <w:szCs w:val="20"/>
        </w:rPr>
        <w:t>. The results could provide helpful information for current and future developments in solar energy-based projects. Further research, particularly into the effect of aerosols and cloud cover on incoming solar radiation could prove useful.</w:t>
      </w:r>
    </w:p>
    <w:p w14:paraId="6B958B2E" w14:textId="77777777" w:rsidR="0022258D" w:rsidRDefault="0022258D" w:rsidP="0022258D">
      <w:pPr>
        <w:pStyle w:val="NormalWeb"/>
        <w:rPr>
          <w:rFonts w:ascii="Verdana" w:hAnsi="Verdana"/>
          <w:sz w:val="19"/>
          <w:szCs w:val="19"/>
        </w:rPr>
      </w:pPr>
      <w:r>
        <w:rPr>
          <w:rFonts w:ascii="Verdana" w:hAnsi="Verdana"/>
          <w:sz w:val="19"/>
          <w:szCs w:val="19"/>
        </w:rPr>
        <w:t> </w:t>
      </w:r>
    </w:p>
    <w:p w14:paraId="6309602A" w14:textId="77777777" w:rsidR="0022258D" w:rsidRDefault="0022258D" w:rsidP="0022258D">
      <w:pPr>
        <w:pStyle w:val="NormalWeb"/>
        <w:rPr>
          <w:rFonts w:ascii="Verdana" w:hAnsi="Verdana"/>
          <w:sz w:val="19"/>
          <w:szCs w:val="19"/>
        </w:rPr>
      </w:pPr>
      <w:r>
        <w:rPr>
          <w:rFonts w:ascii="Verdana" w:hAnsi="Verdana"/>
          <w:b/>
          <w:bCs/>
        </w:rPr>
        <w:t>Acknowledgement</w:t>
      </w:r>
    </w:p>
    <w:p w14:paraId="79BB2038" w14:textId="77777777" w:rsidR="0022258D" w:rsidRDefault="0022258D" w:rsidP="0022258D">
      <w:pPr>
        <w:pStyle w:val="NormalWeb"/>
        <w:rPr>
          <w:rFonts w:ascii="Verdana" w:hAnsi="Verdana"/>
          <w:sz w:val="19"/>
          <w:szCs w:val="19"/>
        </w:rPr>
      </w:pPr>
      <w:r>
        <w:rPr>
          <w:rFonts w:ascii="Verdana" w:hAnsi="Verdana"/>
          <w:sz w:val="20"/>
          <w:szCs w:val="20"/>
        </w:rPr>
        <w:t>The authors acknowledge the European Organisation for the Exploitation of Meteorological Satellites (EUMET-SAT) Satellite Application Facility on Climate Monitoring (CMSAF) for incoming surface shortwave radiation data, and the reviewer and editor of this journal for their valuable comments.</w:t>
      </w:r>
    </w:p>
    <w:p w14:paraId="1ACFF2F1" w14:textId="77777777" w:rsidR="0022258D" w:rsidRDefault="0022258D" w:rsidP="0022258D">
      <w:pPr>
        <w:pStyle w:val="NormalWeb"/>
        <w:rPr>
          <w:rFonts w:ascii="Verdana" w:hAnsi="Verdana"/>
          <w:sz w:val="19"/>
          <w:szCs w:val="19"/>
        </w:rPr>
      </w:pPr>
      <w:r>
        <w:rPr>
          <w:rFonts w:ascii="Verdana" w:hAnsi="Verdana"/>
          <w:sz w:val="19"/>
          <w:szCs w:val="19"/>
        </w:rPr>
        <w:t> </w:t>
      </w:r>
    </w:p>
    <w:p w14:paraId="36A7BEEC" w14:textId="77777777" w:rsidR="0022258D" w:rsidRDefault="0022258D" w:rsidP="0022258D">
      <w:pPr>
        <w:pStyle w:val="NormalWeb"/>
        <w:rPr>
          <w:rFonts w:ascii="Verdana" w:hAnsi="Verdana"/>
          <w:sz w:val="19"/>
          <w:szCs w:val="19"/>
        </w:rPr>
      </w:pPr>
      <w:r>
        <w:rPr>
          <w:rFonts w:ascii="Verdana" w:hAnsi="Verdana"/>
          <w:b/>
          <w:bCs/>
        </w:rPr>
        <w:t>References</w:t>
      </w:r>
    </w:p>
    <w:p w14:paraId="5C54467D" w14:textId="77777777" w:rsidR="0022258D" w:rsidRDefault="0022258D" w:rsidP="0022258D">
      <w:pPr>
        <w:pStyle w:val="NormalWeb"/>
        <w:rPr>
          <w:rFonts w:ascii="Verdana" w:hAnsi="Verdana"/>
          <w:sz w:val="19"/>
          <w:szCs w:val="19"/>
        </w:rPr>
      </w:pPr>
      <w:r>
        <w:rPr>
          <w:rFonts w:ascii="Verdana" w:hAnsi="Verdana"/>
          <w:sz w:val="20"/>
          <w:szCs w:val="20"/>
        </w:rPr>
        <w:t>A new dawn has arrived 1923-2013 Mpumalanga Province (</w:t>
      </w:r>
      <w:hyperlink r:id="rId67" w:tgtFrame="_blank" w:history="1">
        <w:r>
          <w:rPr>
            <w:rStyle w:val="Hyperlink"/>
            <w:rFonts w:ascii="Verdana" w:hAnsi="Verdana"/>
            <w:sz w:val="20"/>
            <w:szCs w:val="20"/>
          </w:rPr>
          <w:t>http://www.eskom.co.za/sites/heritage/Documents/Mpumalanga90th.pdf</w:t>
        </w:r>
      </w:hyperlink>
      <w:r>
        <w:rPr>
          <w:rFonts w:ascii="Verdana" w:hAnsi="Verdana"/>
          <w:sz w:val="20"/>
          <w:szCs w:val="20"/>
        </w:rPr>
        <w:t>) (accessed 11 December 2016).         [ </w:t>
      </w:r>
      <w:hyperlink r:id="rId68" w:history="1">
        <w:r>
          <w:rPr>
            <w:rStyle w:val="Hyperlink"/>
            <w:rFonts w:ascii="Verdana" w:hAnsi="Verdana"/>
            <w:sz w:val="20"/>
            <w:szCs w:val="20"/>
          </w:rPr>
          <w:t>Links</w:t>
        </w:r>
      </w:hyperlink>
      <w:r>
        <w:rPr>
          <w:rFonts w:ascii="Verdana" w:hAnsi="Verdana"/>
          <w:sz w:val="20"/>
          <w:szCs w:val="20"/>
        </w:rPr>
        <w:t> ]</w:t>
      </w:r>
    </w:p>
    <w:p w14:paraId="282112B0" w14:textId="77777777" w:rsidR="0022258D" w:rsidRDefault="0022258D" w:rsidP="0022258D">
      <w:pPr>
        <w:pStyle w:val="NormalWeb"/>
        <w:rPr>
          <w:rFonts w:ascii="Verdana" w:hAnsi="Verdana"/>
          <w:sz w:val="19"/>
          <w:szCs w:val="19"/>
        </w:rPr>
      </w:pPr>
      <w:proofErr w:type="spellStart"/>
      <w:r>
        <w:rPr>
          <w:rFonts w:ascii="Verdana" w:hAnsi="Verdana"/>
          <w:sz w:val="20"/>
          <w:szCs w:val="20"/>
        </w:rPr>
        <w:t>Aurela</w:t>
      </w:r>
      <w:proofErr w:type="spellEnd"/>
      <w:r>
        <w:rPr>
          <w:rFonts w:ascii="Verdana" w:hAnsi="Verdana"/>
          <w:sz w:val="20"/>
          <w:szCs w:val="20"/>
        </w:rPr>
        <w:t xml:space="preserve">, M., Beukes, J.P, Van Zyl, PG., </w:t>
      </w:r>
      <w:proofErr w:type="spellStart"/>
      <w:r>
        <w:rPr>
          <w:rFonts w:ascii="Verdana" w:hAnsi="Verdana"/>
          <w:sz w:val="20"/>
          <w:szCs w:val="20"/>
        </w:rPr>
        <w:t>Vakkari</w:t>
      </w:r>
      <w:proofErr w:type="spellEnd"/>
      <w:r>
        <w:rPr>
          <w:rFonts w:ascii="Verdana" w:hAnsi="Verdana"/>
          <w:sz w:val="20"/>
          <w:szCs w:val="20"/>
        </w:rPr>
        <w:t xml:space="preserve">, V, </w:t>
      </w:r>
      <w:proofErr w:type="spellStart"/>
      <w:r>
        <w:rPr>
          <w:rFonts w:ascii="Verdana" w:hAnsi="Verdana"/>
          <w:sz w:val="20"/>
          <w:szCs w:val="20"/>
        </w:rPr>
        <w:t>Teinilä</w:t>
      </w:r>
      <w:proofErr w:type="spellEnd"/>
      <w:r>
        <w:rPr>
          <w:rFonts w:ascii="Verdana" w:hAnsi="Verdana"/>
          <w:sz w:val="20"/>
          <w:szCs w:val="20"/>
        </w:rPr>
        <w:t xml:space="preserve">, K., </w:t>
      </w:r>
      <w:proofErr w:type="spellStart"/>
      <w:r>
        <w:rPr>
          <w:rFonts w:ascii="Verdana" w:hAnsi="Verdana"/>
          <w:sz w:val="20"/>
          <w:szCs w:val="20"/>
        </w:rPr>
        <w:t>Saarikoski</w:t>
      </w:r>
      <w:proofErr w:type="spellEnd"/>
      <w:r>
        <w:rPr>
          <w:rFonts w:ascii="Verdana" w:hAnsi="Verdana"/>
          <w:sz w:val="20"/>
          <w:szCs w:val="20"/>
        </w:rPr>
        <w:t xml:space="preserve">, S. and </w:t>
      </w:r>
      <w:proofErr w:type="spellStart"/>
      <w:r>
        <w:rPr>
          <w:rFonts w:ascii="Verdana" w:hAnsi="Verdana"/>
          <w:sz w:val="20"/>
          <w:szCs w:val="20"/>
        </w:rPr>
        <w:t>Laakso</w:t>
      </w:r>
      <w:proofErr w:type="spellEnd"/>
      <w:r>
        <w:rPr>
          <w:rFonts w:ascii="Verdana" w:hAnsi="Verdana"/>
          <w:sz w:val="20"/>
          <w:szCs w:val="20"/>
        </w:rPr>
        <w:t xml:space="preserve">, L. 2016. The composition of ambient and fresh biomass burning aerosols at a savannah site, South Africa. </w:t>
      </w:r>
      <w:r>
        <w:rPr>
          <w:rFonts w:ascii="Verdana" w:hAnsi="Verdana"/>
          <w:i/>
          <w:iCs/>
          <w:sz w:val="20"/>
          <w:szCs w:val="20"/>
        </w:rPr>
        <w:t xml:space="preserve">South African Journal of Science </w:t>
      </w:r>
      <w:r>
        <w:rPr>
          <w:rFonts w:ascii="Verdana" w:hAnsi="Verdana"/>
          <w:sz w:val="20"/>
          <w:szCs w:val="20"/>
        </w:rPr>
        <w:t>112(5/6): 1-8.         [ </w:t>
      </w:r>
      <w:hyperlink r:id="rId69" w:history="1">
        <w:r>
          <w:rPr>
            <w:rStyle w:val="Hyperlink"/>
            <w:rFonts w:ascii="Verdana" w:hAnsi="Verdana"/>
            <w:sz w:val="20"/>
            <w:szCs w:val="20"/>
          </w:rPr>
          <w:t>Links</w:t>
        </w:r>
      </w:hyperlink>
      <w:r>
        <w:rPr>
          <w:rFonts w:ascii="Verdana" w:hAnsi="Verdana"/>
          <w:sz w:val="20"/>
          <w:szCs w:val="20"/>
        </w:rPr>
        <w:t> ]</w:t>
      </w:r>
    </w:p>
    <w:p w14:paraId="17D6A549" w14:textId="77777777" w:rsidR="0022258D" w:rsidRDefault="0022258D" w:rsidP="0022258D">
      <w:pPr>
        <w:pStyle w:val="NormalWeb"/>
        <w:rPr>
          <w:rFonts w:ascii="Verdana" w:hAnsi="Verdana"/>
          <w:sz w:val="19"/>
          <w:szCs w:val="19"/>
        </w:rPr>
      </w:pPr>
      <w:r>
        <w:rPr>
          <w:rFonts w:ascii="Verdana" w:hAnsi="Verdana"/>
          <w:sz w:val="20"/>
          <w:szCs w:val="20"/>
        </w:rPr>
        <w:t xml:space="preserve">Adeyemi, A.A., Huan, Z. and </w:t>
      </w:r>
      <w:proofErr w:type="spellStart"/>
      <w:r>
        <w:rPr>
          <w:rFonts w:ascii="Verdana" w:hAnsi="Verdana"/>
          <w:sz w:val="20"/>
          <w:szCs w:val="20"/>
        </w:rPr>
        <w:t>Enweremadu</w:t>
      </w:r>
      <w:proofErr w:type="spellEnd"/>
      <w:r>
        <w:rPr>
          <w:rFonts w:ascii="Verdana" w:hAnsi="Verdana"/>
          <w:sz w:val="20"/>
          <w:szCs w:val="20"/>
        </w:rPr>
        <w:t xml:space="preserve">, C.C. 2015. Evaluation of global solar radiation using multiple weather parameters as predictors for South Africa provinces. </w:t>
      </w:r>
      <w:r>
        <w:rPr>
          <w:rFonts w:ascii="Verdana" w:hAnsi="Verdana"/>
          <w:i/>
          <w:iCs/>
          <w:sz w:val="20"/>
          <w:szCs w:val="20"/>
        </w:rPr>
        <w:t xml:space="preserve">Thermal Science </w:t>
      </w:r>
      <w:r>
        <w:rPr>
          <w:rFonts w:ascii="Verdana" w:hAnsi="Verdana"/>
          <w:sz w:val="20"/>
          <w:szCs w:val="20"/>
        </w:rPr>
        <w:t>19(2): S495-S509.         [ </w:t>
      </w:r>
      <w:hyperlink r:id="rId70" w:history="1">
        <w:r>
          <w:rPr>
            <w:rStyle w:val="Hyperlink"/>
            <w:rFonts w:ascii="Verdana" w:hAnsi="Verdana"/>
            <w:sz w:val="20"/>
            <w:szCs w:val="20"/>
          </w:rPr>
          <w:t>Links</w:t>
        </w:r>
      </w:hyperlink>
      <w:r>
        <w:rPr>
          <w:rFonts w:ascii="Verdana" w:hAnsi="Verdana"/>
          <w:sz w:val="20"/>
          <w:szCs w:val="20"/>
        </w:rPr>
        <w:t> ]</w:t>
      </w:r>
    </w:p>
    <w:p w14:paraId="208F8F9A" w14:textId="77777777" w:rsidR="0022258D" w:rsidRDefault="0022258D" w:rsidP="0022258D">
      <w:pPr>
        <w:pStyle w:val="NormalWeb"/>
        <w:rPr>
          <w:rFonts w:ascii="Verdana" w:hAnsi="Verdana"/>
          <w:sz w:val="19"/>
          <w:szCs w:val="19"/>
        </w:rPr>
      </w:pPr>
      <w:proofErr w:type="spellStart"/>
      <w:r>
        <w:rPr>
          <w:rFonts w:ascii="Verdana" w:hAnsi="Verdana"/>
          <w:sz w:val="20"/>
          <w:szCs w:val="20"/>
        </w:rPr>
        <w:t>Badescu</w:t>
      </w:r>
      <w:proofErr w:type="spellEnd"/>
      <w:r>
        <w:rPr>
          <w:rFonts w:ascii="Verdana" w:hAnsi="Verdana"/>
          <w:sz w:val="20"/>
          <w:szCs w:val="20"/>
        </w:rPr>
        <w:t xml:space="preserve">, V and </w:t>
      </w:r>
      <w:proofErr w:type="spellStart"/>
      <w:r>
        <w:rPr>
          <w:rFonts w:ascii="Verdana" w:hAnsi="Verdana"/>
          <w:sz w:val="20"/>
          <w:szCs w:val="20"/>
        </w:rPr>
        <w:t>Dumitrescu</w:t>
      </w:r>
      <w:proofErr w:type="spellEnd"/>
      <w:r>
        <w:rPr>
          <w:rFonts w:ascii="Verdana" w:hAnsi="Verdana"/>
          <w:sz w:val="20"/>
          <w:szCs w:val="20"/>
        </w:rPr>
        <w:t xml:space="preserve">, A. 2013. The CMSAF hourly solar irradiance database (product CM54): Accuracy and bias corrections with illustrations </w:t>
      </w:r>
      <w:proofErr w:type="spellStart"/>
      <w:r>
        <w:rPr>
          <w:rFonts w:ascii="Verdana" w:hAnsi="Verdana"/>
          <w:sz w:val="20"/>
          <w:szCs w:val="20"/>
        </w:rPr>
        <w:t>fo</w:t>
      </w:r>
      <w:proofErr w:type="spellEnd"/>
      <w:r>
        <w:rPr>
          <w:rFonts w:ascii="Verdana" w:hAnsi="Verdana"/>
          <w:sz w:val="20"/>
          <w:szCs w:val="20"/>
        </w:rPr>
        <w:t xml:space="preserve"> Romania (south-eastern Europe). </w:t>
      </w:r>
      <w:r>
        <w:rPr>
          <w:rFonts w:ascii="Verdana" w:hAnsi="Verdana"/>
          <w:i/>
          <w:iCs/>
          <w:sz w:val="20"/>
          <w:szCs w:val="20"/>
        </w:rPr>
        <w:t xml:space="preserve">Journal of Atmospheric and Solar-Terrestrial Physics </w:t>
      </w:r>
      <w:r>
        <w:rPr>
          <w:rFonts w:ascii="Verdana" w:hAnsi="Verdana"/>
          <w:sz w:val="20"/>
          <w:szCs w:val="20"/>
        </w:rPr>
        <w:t>93: 100-109.         [ </w:t>
      </w:r>
      <w:hyperlink r:id="rId71" w:history="1">
        <w:r>
          <w:rPr>
            <w:rStyle w:val="Hyperlink"/>
            <w:rFonts w:ascii="Verdana" w:hAnsi="Verdana"/>
            <w:sz w:val="20"/>
            <w:szCs w:val="20"/>
          </w:rPr>
          <w:t>Links</w:t>
        </w:r>
      </w:hyperlink>
      <w:r>
        <w:rPr>
          <w:rFonts w:ascii="Verdana" w:hAnsi="Verdana"/>
          <w:sz w:val="20"/>
          <w:szCs w:val="20"/>
        </w:rPr>
        <w:t> ]</w:t>
      </w:r>
    </w:p>
    <w:p w14:paraId="3E84D59F" w14:textId="77777777" w:rsidR="0022258D" w:rsidRDefault="0022258D" w:rsidP="0022258D">
      <w:pPr>
        <w:pStyle w:val="NormalWeb"/>
        <w:rPr>
          <w:rFonts w:ascii="Verdana" w:hAnsi="Verdana"/>
          <w:sz w:val="19"/>
          <w:szCs w:val="19"/>
        </w:rPr>
      </w:pPr>
      <w:r>
        <w:rPr>
          <w:rFonts w:ascii="Verdana" w:hAnsi="Verdana"/>
          <w:sz w:val="20"/>
          <w:szCs w:val="20"/>
        </w:rPr>
        <w:lastRenderedPageBreak/>
        <w:t xml:space="preserve">Bojanowski, J.S., </w:t>
      </w:r>
      <w:proofErr w:type="spellStart"/>
      <w:r>
        <w:rPr>
          <w:rFonts w:ascii="Verdana" w:hAnsi="Verdana"/>
          <w:sz w:val="20"/>
          <w:szCs w:val="20"/>
        </w:rPr>
        <w:t>Vrieling</w:t>
      </w:r>
      <w:proofErr w:type="spellEnd"/>
      <w:r>
        <w:rPr>
          <w:rFonts w:ascii="Verdana" w:hAnsi="Verdana"/>
          <w:sz w:val="20"/>
          <w:szCs w:val="20"/>
        </w:rPr>
        <w:t xml:space="preserve">, A. and Skidmore, A.K. 2014. A comparison of data sources for creating a long-term time series of daily gridded solar radiation for Europe. </w:t>
      </w:r>
      <w:r>
        <w:rPr>
          <w:rFonts w:ascii="Verdana" w:hAnsi="Verdana"/>
          <w:i/>
          <w:iCs/>
          <w:sz w:val="20"/>
          <w:szCs w:val="20"/>
        </w:rPr>
        <w:t xml:space="preserve">Solar Energy </w:t>
      </w:r>
      <w:r>
        <w:rPr>
          <w:rFonts w:ascii="Verdana" w:hAnsi="Verdana"/>
          <w:sz w:val="20"/>
          <w:szCs w:val="20"/>
        </w:rPr>
        <w:t>99:152-171.         [ </w:t>
      </w:r>
      <w:hyperlink r:id="rId72" w:history="1">
        <w:r>
          <w:rPr>
            <w:rStyle w:val="Hyperlink"/>
            <w:rFonts w:ascii="Verdana" w:hAnsi="Verdana"/>
            <w:sz w:val="20"/>
            <w:szCs w:val="20"/>
          </w:rPr>
          <w:t>Links</w:t>
        </w:r>
      </w:hyperlink>
      <w:r>
        <w:rPr>
          <w:rFonts w:ascii="Verdana" w:hAnsi="Verdana"/>
          <w:sz w:val="20"/>
          <w:szCs w:val="20"/>
        </w:rPr>
        <w:t> ]</w:t>
      </w:r>
    </w:p>
    <w:p w14:paraId="090403F7" w14:textId="77777777" w:rsidR="0022258D" w:rsidRDefault="0022258D" w:rsidP="0022258D">
      <w:pPr>
        <w:pStyle w:val="NormalWeb"/>
        <w:rPr>
          <w:rFonts w:ascii="Verdana" w:hAnsi="Verdana"/>
          <w:sz w:val="19"/>
          <w:szCs w:val="19"/>
        </w:rPr>
      </w:pPr>
      <w:proofErr w:type="spellStart"/>
      <w:r>
        <w:rPr>
          <w:rFonts w:ascii="Verdana" w:hAnsi="Verdana"/>
          <w:sz w:val="20"/>
          <w:szCs w:val="20"/>
        </w:rPr>
        <w:t>Dresselhaus</w:t>
      </w:r>
      <w:proofErr w:type="spellEnd"/>
      <w:r>
        <w:rPr>
          <w:rFonts w:ascii="Verdana" w:hAnsi="Verdana"/>
          <w:sz w:val="20"/>
          <w:szCs w:val="20"/>
        </w:rPr>
        <w:t xml:space="preserve">, M.S. and Thomas, I.L. 2001. Alternative energy technologies. </w:t>
      </w:r>
      <w:r>
        <w:rPr>
          <w:rFonts w:ascii="Verdana" w:hAnsi="Verdana"/>
          <w:i/>
          <w:iCs/>
          <w:sz w:val="20"/>
          <w:szCs w:val="20"/>
        </w:rPr>
        <w:t xml:space="preserve">Nature </w:t>
      </w:r>
      <w:r>
        <w:rPr>
          <w:rFonts w:ascii="Verdana" w:hAnsi="Verdana"/>
          <w:sz w:val="20"/>
          <w:szCs w:val="20"/>
        </w:rPr>
        <w:t>414(6861): 332-337.         [ </w:t>
      </w:r>
      <w:hyperlink r:id="rId73" w:history="1">
        <w:r>
          <w:rPr>
            <w:rStyle w:val="Hyperlink"/>
            <w:rFonts w:ascii="Verdana" w:hAnsi="Verdana"/>
            <w:sz w:val="20"/>
            <w:szCs w:val="20"/>
          </w:rPr>
          <w:t>Links</w:t>
        </w:r>
      </w:hyperlink>
      <w:r>
        <w:rPr>
          <w:rFonts w:ascii="Verdana" w:hAnsi="Verdana"/>
          <w:sz w:val="20"/>
          <w:szCs w:val="20"/>
        </w:rPr>
        <w:t> ]</w:t>
      </w:r>
    </w:p>
    <w:p w14:paraId="7A18CDFA" w14:textId="77777777" w:rsidR="0022258D" w:rsidRDefault="0022258D" w:rsidP="0022258D">
      <w:pPr>
        <w:pStyle w:val="NormalWeb"/>
        <w:rPr>
          <w:rFonts w:ascii="Verdana" w:hAnsi="Verdana"/>
          <w:sz w:val="19"/>
          <w:szCs w:val="19"/>
        </w:rPr>
      </w:pPr>
      <w:proofErr w:type="spellStart"/>
      <w:r>
        <w:rPr>
          <w:rFonts w:ascii="Verdana" w:hAnsi="Verdana"/>
          <w:sz w:val="20"/>
          <w:szCs w:val="20"/>
        </w:rPr>
        <w:t>Gauché</w:t>
      </w:r>
      <w:proofErr w:type="spellEnd"/>
      <w:r>
        <w:rPr>
          <w:rFonts w:ascii="Verdana" w:hAnsi="Verdana"/>
          <w:sz w:val="20"/>
          <w:szCs w:val="20"/>
        </w:rPr>
        <w:t xml:space="preserve">, P, Rudman, J., Mabaso, M., Landman, W.A., von </w:t>
      </w:r>
      <w:proofErr w:type="spellStart"/>
      <w:r>
        <w:rPr>
          <w:rFonts w:ascii="Verdana" w:hAnsi="Verdana"/>
          <w:sz w:val="20"/>
          <w:szCs w:val="20"/>
        </w:rPr>
        <w:t>Backstrõm</w:t>
      </w:r>
      <w:proofErr w:type="spellEnd"/>
      <w:r>
        <w:rPr>
          <w:rFonts w:ascii="Verdana" w:hAnsi="Verdana"/>
          <w:sz w:val="20"/>
          <w:szCs w:val="20"/>
        </w:rPr>
        <w:t xml:space="preserve">, T.W. and Brent, A.C. 2017. System value and progress of CSP </w:t>
      </w:r>
      <w:r>
        <w:rPr>
          <w:rFonts w:ascii="Verdana" w:hAnsi="Verdana"/>
          <w:i/>
          <w:iCs/>
          <w:sz w:val="20"/>
          <w:szCs w:val="20"/>
        </w:rPr>
        <w:t xml:space="preserve">Solar Energy. </w:t>
      </w:r>
      <w:r>
        <w:rPr>
          <w:rFonts w:ascii="Verdana" w:hAnsi="Verdana"/>
          <w:sz w:val="20"/>
          <w:szCs w:val="20"/>
        </w:rPr>
        <w:t>Doi.org/10.1016/j.solener.2017.03.072.         [ </w:t>
      </w:r>
      <w:hyperlink r:id="rId74" w:history="1">
        <w:r>
          <w:rPr>
            <w:rStyle w:val="Hyperlink"/>
            <w:rFonts w:ascii="Verdana" w:hAnsi="Verdana"/>
            <w:sz w:val="20"/>
            <w:szCs w:val="20"/>
          </w:rPr>
          <w:t>Links</w:t>
        </w:r>
      </w:hyperlink>
      <w:r>
        <w:rPr>
          <w:rFonts w:ascii="Verdana" w:hAnsi="Verdana"/>
          <w:sz w:val="20"/>
          <w:szCs w:val="20"/>
        </w:rPr>
        <w:t> ]</w:t>
      </w:r>
    </w:p>
    <w:p w14:paraId="24A2F951" w14:textId="77777777" w:rsidR="0022258D" w:rsidRDefault="0022258D" w:rsidP="0022258D">
      <w:pPr>
        <w:pStyle w:val="NormalWeb"/>
        <w:rPr>
          <w:rFonts w:ascii="Verdana" w:hAnsi="Verdana"/>
          <w:sz w:val="19"/>
          <w:szCs w:val="19"/>
        </w:rPr>
      </w:pPr>
      <w:r>
        <w:rPr>
          <w:rFonts w:ascii="Verdana" w:hAnsi="Verdana"/>
          <w:sz w:val="20"/>
          <w:szCs w:val="20"/>
        </w:rPr>
        <w:t xml:space="preserve">Google Earth Image: Source: </w:t>
      </w:r>
      <w:hyperlink r:id="rId75" w:tgtFrame="_blank" w:history="1">
        <w:r>
          <w:rPr>
            <w:rStyle w:val="Hyperlink"/>
            <w:rFonts w:ascii="Verdana" w:hAnsi="Verdana"/>
            <w:sz w:val="20"/>
            <w:szCs w:val="20"/>
          </w:rPr>
          <w:t>http://www.earth.google.com</w:t>
        </w:r>
      </w:hyperlink>
      <w:r>
        <w:rPr>
          <w:rFonts w:ascii="Verdana" w:hAnsi="Verdana"/>
          <w:sz w:val="20"/>
          <w:szCs w:val="20"/>
        </w:rPr>
        <w:t xml:space="preserve">. Imagery date- December 14, 2015. December 10, 2016. (Retrieved on 10 </w:t>
      </w:r>
      <w:proofErr w:type="gramStart"/>
      <w:r>
        <w:rPr>
          <w:rFonts w:ascii="Verdana" w:hAnsi="Verdana"/>
          <w:sz w:val="20"/>
          <w:szCs w:val="20"/>
        </w:rPr>
        <w:t>December,</w:t>
      </w:r>
      <w:proofErr w:type="gramEnd"/>
      <w:r>
        <w:rPr>
          <w:rFonts w:ascii="Verdana" w:hAnsi="Verdana"/>
          <w:sz w:val="20"/>
          <w:szCs w:val="20"/>
        </w:rPr>
        <w:t xml:space="preserve"> 2016).         [ </w:t>
      </w:r>
      <w:hyperlink r:id="rId76" w:history="1">
        <w:r>
          <w:rPr>
            <w:rStyle w:val="Hyperlink"/>
            <w:rFonts w:ascii="Verdana" w:hAnsi="Verdana"/>
            <w:sz w:val="20"/>
            <w:szCs w:val="20"/>
          </w:rPr>
          <w:t>Links</w:t>
        </w:r>
      </w:hyperlink>
      <w:r>
        <w:rPr>
          <w:rFonts w:ascii="Verdana" w:hAnsi="Verdana"/>
          <w:sz w:val="20"/>
          <w:szCs w:val="20"/>
        </w:rPr>
        <w:t> ]</w:t>
      </w:r>
    </w:p>
    <w:p w14:paraId="1B4357E5" w14:textId="77777777" w:rsidR="0022258D" w:rsidRDefault="0022258D" w:rsidP="0022258D">
      <w:pPr>
        <w:pStyle w:val="NormalWeb"/>
        <w:rPr>
          <w:rFonts w:ascii="Verdana" w:hAnsi="Verdana"/>
          <w:sz w:val="19"/>
          <w:szCs w:val="19"/>
        </w:rPr>
      </w:pPr>
      <w:r>
        <w:rPr>
          <w:rFonts w:ascii="Verdana" w:hAnsi="Verdana"/>
          <w:sz w:val="20"/>
          <w:szCs w:val="20"/>
        </w:rPr>
        <w:t xml:space="preserve">Kaiser, D.P and Qian, Y 2002. Decreasing trends in sunshine duration over China for 1954-1998: Indication of increased haze pollution? </w:t>
      </w:r>
      <w:r>
        <w:rPr>
          <w:rFonts w:ascii="Verdana" w:hAnsi="Verdana"/>
          <w:i/>
          <w:iCs/>
          <w:sz w:val="20"/>
          <w:szCs w:val="20"/>
        </w:rPr>
        <w:t xml:space="preserve">Geophysical Research Letters </w:t>
      </w:r>
      <w:r>
        <w:rPr>
          <w:rFonts w:ascii="Verdana" w:hAnsi="Verdana"/>
          <w:sz w:val="20"/>
          <w:szCs w:val="20"/>
        </w:rPr>
        <w:t>29(21).         [ </w:t>
      </w:r>
      <w:hyperlink r:id="rId77" w:history="1">
        <w:r>
          <w:rPr>
            <w:rStyle w:val="Hyperlink"/>
            <w:rFonts w:ascii="Verdana" w:hAnsi="Verdana"/>
            <w:sz w:val="20"/>
            <w:szCs w:val="20"/>
          </w:rPr>
          <w:t>Links</w:t>
        </w:r>
      </w:hyperlink>
      <w:r>
        <w:rPr>
          <w:rFonts w:ascii="Verdana" w:hAnsi="Verdana"/>
          <w:sz w:val="20"/>
          <w:szCs w:val="20"/>
        </w:rPr>
        <w:t> ]</w:t>
      </w:r>
    </w:p>
    <w:p w14:paraId="018F99E7" w14:textId="77777777" w:rsidR="0022258D" w:rsidRDefault="0022258D" w:rsidP="0022258D">
      <w:pPr>
        <w:pStyle w:val="NormalWeb"/>
        <w:rPr>
          <w:rFonts w:ascii="Verdana" w:hAnsi="Verdana"/>
          <w:sz w:val="19"/>
          <w:szCs w:val="19"/>
        </w:rPr>
      </w:pPr>
      <w:r>
        <w:rPr>
          <w:rFonts w:ascii="Verdana" w:hAnsi="Verdana"/>
          <w:sz w:val="20"/>
          <w:szCs w:val="20"/>
        </w:rPr>
        <w:t xml:space="preserve">Kruger, A.C. 2004. Climate of South Africa. </w:t>
      </w:r>
      <w:r>
        <w:rPr>
          <w:rFonts w:ascii="Verdana" w:hAnsi="Verdana"/>
          <w:i/>
          <w:iCs/>
          <w:sz w:val="20"/>
          <w:szCs w:val="20"/>
        </w:rPr>
        <w:t xml:space="preserve">Climate regions. WS45. </w:t>
      </w:r>
      <w:r>
        <w:rPr>
          <w:rFonts w:ascii="Verdana" w:hAnsi="Verdana"/>
          <w:sz w:val="20"/>
          <w:szCs w:val="20"/>
        </w:rPr>
        <w:t>South African Weather Service, Pretoria.         [ </w:t>
      </w:r>
      <w:hyperlink r:id="rId78" w:history="1">
        <w:r>
          <w:rPr>
            <w:rStyle w:val="Hyperlink"/>
            <w:rFonts w:ascii="Verdana" w:hAnsi="Verdana"/>
            <w:sz w:val="20"/>
            <w:szCs w:val="20"/>
          </w:rPr>
          <w:t>Links</w:t>
        </w:r>
      </w:hyperlink>
      <w:r>
        <w:rPr>
          <w:rFonts w:ascii="Verdana" w:hAnsi="Verdana"/>
          <w:sz w:val="20"/>
          <w:szCs w:val="20"/>
        </w:rPr>
        <w:t> ]</w:t>
      </w:r>
    </w:p>
    <w:p w14:paraId="7D0FDEBF" w14:textId="77777777" w:rsidR="0022258D" w:rsidRDefault="0022258D" w:rsidP="0022258D">
      <w:pPr>
        <w:pStyle w:val="NormalWeb"/>
        <w:rPr>
          <w:rFonts w:ascii="Verdana" w:hAnsi="Verdana"/>
          <w:sz w:val="19"/>
          <w:szCs w:val="19"/>
        </w:rPr>
      </w:pPr>
      <w:r>
        <w:rPr>
          <w:rFonts w:ascii="Verdana" w:hAnsi="Verdana"/>
          <w:sz w:val="20"/>
          <w:szCs w:val="20"/>
        </w:rPr>
        <w:t xml:space="preserve">Kruger, A.C. 2007. Trends in cloud cover from 1960 to 2005 over South Africa. </w:t>
      </w:r>
      <w:r>
        <w:rPr>
          <w:rFonts w:ascii="Verdana" w:hAnsi="Verdana"/>
          <w:i/>
          <w:iCs/>
          <w:sz w:val="20"/>
          <w:szCs w:val="20"/>
        </w:rPr>
        <w:t xml:space="preserve">Water SA, </w:t>
      </w:r>
      <w:r>
        <w:rPr>
          <w:rFonts w:ascii="Verdana" w:hAnsi="Verdana"/>
          <w:sz w:val="20"/>
          <w:szCs w:val="20"/>
        </w:rPr>
        <w:t>33(5): 603-608.         [ </w:t>
      </w:r>
      <w:hyperlink r:id="rId79" w:history="1">
        <w:r>
          <w:rPr>
            <w:rStyle w:val="Hyperlink"/>
            <w:rFonts w:ascii="Verdana" w:hAnsi="Verdana"/>
            <w:sz w:val="20"/>
            <w:szCs w:val="20"/>
          </w:rPr>
          <w:t>Links</w:t>
        </w:r>
      </w:hyperlink>
      <w:r>
        <w:rPr>
          <w:rFonts w:ascii="Verdana" w:hAnsi="Verdana"/>
          <w:sz w:val="20"/>
          <w:szCs w:val="20"/>
        </w:rPr>
        <w:t> ]</w:t>
      </w:r>
    </w:p>
    <w:p w14:paraId="64E14F8E" w14:textId="77777777" w:rsidR="0022258D" w:rsidRDefault="0022258D" w:rsidP="0022258D">
      <w:pPr>
        <w:pStyle w:val="NormalWeb"/>
        <w:rPr>
          <w:rFonts w:ascii="Verdana" w:hAnsi="Verdana"/>
          <w:sz w:val="19"/>
          <w:szCs w:val="19"/>
        </w:rPr>
      </w:pPr>
      <w:r>
        <w:rPr>
          <w:rFonts w:ascii="Verdana" w:hAnsi="Verdana"/>
          <w:sz w:val="20"/>
          <w:szCs w:val="20"/>
        </w:rPr>
        <w:t xml:space="preserve">Li, J., Liu, R., Liu, S.C., </w:t>
      </w:r>
      <w:proofErr w:type="spellStart"/>
      <w:r>
        <w:rPr>
          <w:rFonts w:ascii="Verdana" w:hAnsi="Verdana"/>
          <w:sz w:val="20"/>
          <w:szCs w:val="20"/>
        </w:rPr>
        <w:t>Shiu</w:t>
      </w:r>
      <w:proofErr w:type="spellEnd"/>
      <w:r>
        <w:rPr>
          <w:rFonts w:ascii="Verdana" w:hAnsi="Verdana"/>
          <w:sz w:val="20"/>
          <w:szCs w:val="20"/>
        </w:rPr>
        <w:t xml:space="preserve">, C.J., Wang, J. and Zhang, Y. 2016. Trends in aerosol optical depth in northern China retrieved from sunshine duration data. </w:t>
      </w:r>
      <w:r>
        <w:rPr>
          <w:rFonts w:ascii="Verdana" w:hAnsi="Verdana"/>
          <w:i/>
          <w:iCs/>
          <w:sz w:val="20"/>
          <w:szCs w:val="20"/>
        </w:rPr>
        <w:t xml:space="preserve">Geophysical Research Letters </w:t>
      </w:r>
      <w:r>
        <w:rPr>
          <w:rFonts w:ascii="Verdana" w:hAnsi="Verdana"/>
          <w:sz w:val="20"/>
          <w:szCs w:val="20"/>
        </w:rPr>
        <w:t>43(1): 431-439.         [ </w:t>
      </w:r>
      <w:hyperlink r:id="rId80" w:history="1">
        <w:r>
          <w:rPr>
            <w:rStyle w:val="Hyperlink"/>
            <w:rFonts w:ascii="Verdana" w:hAnsi="Verdana"/>
            <w:sz w:val="20"/>
            <w:szCs w:val="20"/>
          </w:rPr>
          <w:t>Links</w:t>
        </w:r>
      </w:hyperlink>
      <w:r>
        <w:rPr>
          <w:rFonts w:ascii="Verdana" w:hAnsi="Verdana"/>
          <w:sz w:val="20"/>
          <w:szCs w:val="20"/>
        </w:rPr>
        <w:t> ]</w:t>
      </w:r>
    </w:p>
    <w:p w14:paraId="32B5DDDE" w14:textId="77777777" w:rsidR="0022258D" w:rsidRDefault="0022258D" w:rsidP="0022258D">
      <w:pPr>
        <w:pStyle w:val="NormalWeb"/>
        <w:rPr>
          <w:rFonts w:ascii="Verdana" w:hAnsi="Verdana"/>
          <w:sz w:val="19"/>
          <w:szCs w:val="19"/>
        </w:rPr>
      </w:pPr>
      <w:r>
        <w:rPr>
          <w:rFonts w:ascii="Verdana" w:hAnsi="Verdana"/>
          <w:sz w:val="20"/>
          <w:szCs w:val="20"/>
        </w:rPr>
        <w:t xml:space="preserve">Liepert, B.G. and </w:t>
      </w:r>
      <w:proofErr w:type="spellStart"/>
      <w:r>
        <w:rPr>
          <w:rFonts w:ascii="Verdana" w:hAnsi="Verdana"/>
          <w:sz w:val="20"/>
          <w:szCs w:val="20"/>
        </w:rPr>
        <w:t>Kukla</w:t>
      </w:r>
      <w:proofErr w:type="spellEnd"/>
      <w:r>
        <w:rPr>
          <w:rFonts w:ascii="Verdana" w:hAnsi="Verdana"/>
          <w:sz w:val="20"/>
          <w:szCs w:val="20"/>
        </w:rPr>
        <w:t xml:space="preserve">, G.J. 1997. Decline in global solar radiation with increased horizontal visibility in Germany between 1964 and 1990. </w:t>
      </w:r>
      <w:r>
        <w:rPr>
          <w:rFonts w:ascii="Verdana" w:hAnsi="Verdana"/>
          <w:i/>
          <w:iCs/>
          <w:sz w:val="20"/>
          <w:szCs w:val="20"/>
        </w:rPr>
        <w:t xml:space="preserve">Journal of Climate, </w:t>
      </w:r>
      <w:r>
        <w:rPr>
          <w:rFonts w:ascii="Verdana" w:hAnsi="Verdana"/>
          <w:sz w:val="20"/>
          <w:szCs w:val="20"/>
        </w:rPr>
        <w:t>10(9): 2391-2401.         [ </w:t>
      </w:r>
      <w:hyperlink r:id="rId81" w:history="1">
        <w:r>
          <w:rPr>
            <w:rStyle w:val="Hyperlink"/>
            <w:rFonts w:ascii="Verdana" w:hAnsi="Verdana"/>
            <w:sz w:val="20"/>
            <w:szCs w:val="20"/>
          </w:rPr>
          <w:t>Links</w:t>
        </w:r>
      </w:hyperlink>
      <w:r>
        <w:rPr>
          <w:rFonts w:ascii="Verdana" w:hAnsi="Verdana"/>
          <w:sz w:val="20"/>
          <w:szCs w:val="20"/>
        </w:rPr>
        <w:t> ]</w:t>
      </w:r>
    </w:p>
    <w:p w14:paraId="060D5AFA" w14:textId="77777777" w:rsidR="0022258D" w:rsidRDefault="0022258D" w:rsidP="0022258D">
      <w:pPr>
        <w:pStyle w:val="NormalWeb"/>
        <w:rPr>
          <w:rFonts w:ascii="Verdana" w:hAnsi="Verdana"/>
          <w:sz w:val="19"/>
          <w:szCs w:val="19"/>
        </w:rPr>
      </w:pPr>
      <w:r>
        <w:rPr>
          <w:rFonts w:ascii="Verdana" w:hAnsi="Verdana"/>
          <w:sz w:val="20"/>
          <w:szCs w:val="20"/>
        </w:rPr>
        <w:t xml:space="preserve">Martín-Pomares, L., Martinez, D., Polo, J., Perez- </w:t>
      </w:r>
      <w:proofErr w:type="spellStart"/>
      <w:r>
        <w:rPr>
          <w:rFonts w:ascii="Verdana" w:hAnsi="Verdana"/>
          <w:sz w:val="20"/>
          <w:szCs w:val="20"/>
        </w:rPr>
        <w:t>Astudillo</w:t>
      </w:r>
      <w:proofErr w:type="spellEnd"/>
      <w:r>
        <w:rPr>
          <w:rFonts w:ascii="Verdana" w:hAnsi="Verdana"/>
          <w:sz w:val="20"/>
          <w:szCs w:val="20"/>
        </w:rPr>
        <w:t xml:space="preserve">, D., </w:t>
      </w:r>
      <w:proofErr w:type="spellStart"/>
      <w:r>
        <w:rPr>
          <w:rFonts w:ascii="Verdana" w:hAnsi="Verdana"/>
          <w:sz w:val="20"/>
          <w:szCs w:val="20"/>
        </w:rPr>
        <w:t>Bachour</w:t>
      </w:r>
      <w:proofErr w:type="spellEnd"/>
      <w:r>
        <w:rPr>
          <w:rFonts w:ascii="Verdana" w:hAnsi="Verdana"/>
          <w:sz w:val="20"/>
          <w:szCs w:val="20"/>
        </w:rPr>
        <w:t xml:space="preserve">, D. and Sanfilippo, A. 2017. Analysis of the long-term solar potential for electricity generation in Qatar. </w:t>
      </w:r>
      <w:r>
        <w:rPr>
          <w:rFonts w:ascii="Verdana" w:hAnsi="Verdana"/>
          <w:i/>
          <w:iCs/>
          <w:sz w:val="20"/>
          <w:szCs w:val="20"/>
        </w:rPr>
        <w:t xml:space="preserve">Renewable and Sustainable Energy Reviews </w:t>
      </w:r>
      <w:r>
        <w:rPr>
          <w:rFonts w:ascii="Verdana" w:hAnsi="Verdana"/>
          <w:sz w:val="20"/>
          <w:szCs w:val="20"/>
        </w:rPr>
        <w:t>73:1231-1246.         [ </w:t>
      </w:r>
      <w:hyperlink r:id="rId82" w:history="1">
        <w:r>
          <w:rPr>
            <w:rStyle w:val="Hyperlink"/>
            <w:rFonts w:ascii="Verdana" w:hAnsi="Verdana"/>
            <w:sz w:val="20"/>
            <w:szCs w:val="20"/>
          </w:rPr>
          <w:t>Links</w:t>
        </w:r>
      </w:hyperlink>
      <w:r>
        <w:rPr>
          <w:rFonts w:ascii="Verdana" w:hAnsi="Verdana"/>
          <w:sz w:val="20"/>
          <w:szCs w:val="20"/>
        </w:rPr>
        <w:t> ]</w:t>
      </w:r>
    </w:p>
    <w:p w14:paraId="4967EDAE" w14:textId="77777777" w:rsidR="0022258D" w:rsidRDefault="0022258D" w:rsidP="0022258D">
      <w:pPr>
        <w:pStyle w:val="NormalWeb"/>
        <w:rPr>
          <w:rFonts w:ascii="Verdana" w:hAnsi="Verdana"/>
          <w:sz w:val="19"/>
          <w:szCs w:val="19"/>
        </w:rPr>
      </w:pPr>
      <w:r>
        <w:rPr>
          <w:rFonts w:ascii="Verdana" w:hAnsi="Verdana"/>
          <w:sz w:val="20"/>
          <w:szCs w:val="20"/>
        </w:rPr>
        <w:t xml:space="preserve">Müller, R., </w:t>
      </w:r>
      <w:proofErr w:type="spellStart"/>
      <w:r>
        <w:rPr>
          <w:rFonts w:ascii="Verdana" w:hAnsi="Verdana"/>
          <w:sz w:val="20"/>
          <w:szCs w:val="20"/>
        </w:rPr>
        <w:t>Pfeifroth</w:t>
      </w:r>
      <w:proofErr w:type="spellEnd"/>
      <w:r>
        <w:rPr>
          <w:rFonts w:ascii="Verdana" w:hAnsi="Verdana"/>
          <w:sz w:val="20"/>
          <w:szCs w:val="20"/>
        </w:rPr>
        <w:t xml:space="preserve">, U., </w:t>
      </w:r>
      <w:proofErr w:type="spellStart"/>
      <w:r>
        <w:rPr>
          <w:rFonts w:ascii="Verdana" w:hAnsi="Verdana"/>
          <w:sz w:val="20"/>
          <w:szCs w:val="20"/>
        </w:rPr>
        <w:t>Trãger</w:t>
      </w:r>
      <w:proofErr w:type="spellEnd"/>
      <w:r>
        <w:rPr>
          <w:rFonts w:ascii="Verdana" w:hAnsi="Verdana"/>
          <w:sz w:val="20"/>
          <w:szCs w:val="20"/>
        </w:rPr>
        <w:t xml:space="preserve">-Chatterjee, C., </w:t>
      </w:r>
      <w:proofErr w:type="spellStart"/>
      <w:r>
        <w:rPr>
          <w:rFonts w:ascii="Verdana" w:hAnsi="Verdana"/>
          <w:sz w:val="20"/>
          <w:szCs w:val="20"/>
        </w:rPr>
        <w:t>Trentmann</w:t>
      </w:r>
      <w:proofErr w:type="spellEnd"/>
      <w:r>
        <w:rPr>
          <w:rFonts w:ascii="Verdana" w:hAnsi="Verdana"/>
          <w:sz w:val="20"/>
          <w:szCs w:val="20"/>
        </w:rPr>
        <w:t xml:space="preserve">, J. and Cremer, R. 2015. Digging the METEOSAT treasure-3 decades of solar surface radiation. </w:t>
      </w:r>
      <w:r>
        <w:rPr>
          <w:rFonts w:ascii="Verdana" w:hAnsi="Verdana"/>
          <w:i/>
          <w:iCs/>
          <w:sz w:val="20"/>
          <w:szCs w:val="20"/>
        </w:rPr>
        <w:t xml:space="preserve">Remote Sensing </w:t>
      </w:r>
      <w:r>
        <w:rPr>
          <w:rFonts w:ascii="Verdana" w:hAnsi="Verdana"/>
          <w:sz w:val="20"/>
          <w:szCs w:val="20"/>
        </w:rPr>
        <w:t>7(6):8067-8101.         [ </w:t>
      </w:r>
      <w:hyperlink r:id="rId83" w:history="1">
        <w:r>
          <w:rPr>
            <w:rStyle w:val="Hyperlink"/>
            <w:rFonts w:ascii="Verdana" w:hAnsi="Verdana"/>
            <w:sz w:val="20"/>
            <w:szCs w:val="20"/>
          </w:rPr>
          <w:t>Links</w:t>
        </w:r>
      </w:hyperlink>
      <w:r>
        <w:rPr>
          <w:rFonts w:ascii="Verdana" w:hAnsi="Verdana"/>
          <w:sz w:val="20"/>
          <w:szCs w:val="20"/>
        </w:rPr>
        <w:t> ]</w:t>
      </w:r>
    </w:p>
    <w:p w14:paraId="33160347" w14:textId="77777777" w:rsidR="0022258D" w:rsidRDefault="0022258D" w:rsidP="0022258D">
      <w:pPr>
        <w:pStyle w:val="NormalWeb"/>
        <w:rPr>
          <w:rFonts w:ascii="Verdana" w:hAnsi="Verdana"/>
          <w:sz w:val="19"/>
          <w:szCs w:val="19"/>
        </w:rPr>
      </w:pPr>
      <w:r>
        <w:rPr>
          <w:rFonts w:ascii="Verdana" w:hAnsi="Verdana"/>
          <w:sz w:val="20"/>
          <w:szCs w:val="20"/>
        </w:rPr>
        <w:t xml:space="preserve">Müller, Richard; </w:t>
      </w:r>
      <w:proofErr w:type="spellStart"/>
      <w:r>
        <w:rPr>
          <w:rFonts w:ascii="Verdana" w:hAnsi="Verdana"/>
          <w:sz w:val="20"/>
          <w:szCs w:val="20"/>
        </w:rPr>
        <w:t>Pfeifroth</w:t>
      </w:r>
      <w:proofErr w:type="spellEnd"/>
      <w:r>
        <w:rPr>
          <w:rFonts w:ascii="Verdana" w:hAnsi="Verdana"/>
          <w:sz w:val="20"/>
          <w:szCs w:val="20"/>
        </w:rPr>
        <w:t xml:space="preserve">, Uwe; </w:t>
      </w:r>
      <w:proofErr w:type="spellStart"/>
      <w:r>
        <w:rPr>
          <w:rFonts w:ascii="Verdana" w:hAnsi="Verdana"/>
          <w:sz w:val="20"/>
          <w:szCs w:val="20"/>
        </w:rPr>
        <w:t>Trãger</w:t>
      </w:r>
      <w:proofErr w:type="spellEnd"/>
      <w:r>
        <w:rPr>
          <w:rFonts w:ascii="Verdana" w:hAnsi="Verdana"/>
          <w:sz w:val="20"/>
          <w:szCs w:val="20"/>
        </w:rPr>
        <w:t xml:space="preserve">-Chatterjee, Christine; Cremer, </w:t>
      </w:r>
      <w:proofErr w:type="spellStart"/>
      <w:r>
        <w:rPr>
          <w:rFonts w:ascii="Verdana" w:hAnsi="Verdana"/>
          <w:sz w:val="20"/>
          <w:szCs w:val="20"/>
        </w:rPr>
        <w:t>Roswitha</w:t>
      </w:r>
      <w:proofErr w:type="spellEnd"/>
      <w:r>
        <w:rPr>
          <w:rFonts w:ascii="Verdana" w:hAnsi="Verdana"/>
          <w:sz w:val="20"/>
          <w:szCs w:val="20"/>
        </w:rPr>
        <w:t xml:space="preserve">; </w:t>
      </w:r>
      <w:proofErr w:type="spellStart"/>
      <w:r>
        <w:rPr>
          <w:rFonts w:ascii="Verdana" w:hAnsi="Verdana"/>
          <w:sz w:val="20"/>
          <w:szCs w:val="20"/>
        </w:rPr>
        <w:t>Trentmann</w:t>
      </w:r>
      <w:proofErr w:type="spellEnd"/>
      <w:r>
        <w:rPr>
          <w:rFonts w:ascii="Verdana" w:hAnsi="Verdana"/>
          <w:sz w:val="20"/>
          <w:szCs w:val="20"/>
        </w:rPr>
        <w:t xml:space="preserve">, </w:t>
      </w:r>
      <w:proofErr w:type="spellStart"/>
      <w:r>
        <w:rPr>
          <w:rFonts w:ascii="Verdana" w:hAnsi="Verdana"/>
          <w:sz w:val="20"/>
          <w:szCs w:val="20"/>
        </w:rPr>
        <w:t>Jõrg</w:t>
      </w:r>
      <w:proofErr w:type="spellEnd"/>
      <w:r>
        <w:rPr>
          <w:rFonts w:ascii="Verdana" w:hAnsi="Verdana"/>
          <w:sz w:val="20"/>
          <w:szCs w:val="20"/>
        </w:rPr>
        <w:t xml:space="preserve">; Hollmann, Rainer. 2015. Surface Solar Radiation Data Set - </w:t>
      </w:r>
      <w:proofErr w:type="spellStart"/>
      <w:r>
        <w:rPr>
          <w:rFonts w:ascii="Verdana" w:hAnsi="Verdana"/>
          <w:sz w:val="20"/>
          <w:szCs w:val="20"/>
        </w:rPr>
        <w:t>Heliosat</w:t>
      </w:r>
      <w:proofErr w:type="spellEnd"/>
      <w:r>
        <w:rPr>
          <w:rFonts w:ascii="Verdana" w:hAnsi="Verdana"/>
          <w:sz w:val="20"/>
          <w:szCs w:val="20"/>
        </w:rPr>
        <w:t xml:space="preserve"> (SARAH) - Edition 1. Satellite Application Facility on Climate Monitoring. </w:t>
      </w:r>
      <w:hyperlink r:id="rId84" w:tgtFrame="_blank" w:history="1">
        <w:r>
          <w:rPr>
            <w:rStyle w:val="Hyperlink"/>
            <w:rFonts w:ascii="Verdana" w:hAnsi="Verdana"/>
            <w:sz w:val="20"/>
            <w:szCs w:val="20"/>
          </w:rPr>
          <w:t>http://dx.doi.org/10.5676/EUM_SAF_CM/SARAH/V001</w:t>
        </w:r>
      </w:hyperlink>
      <w:r>
        <w:rPr>
          <w:rFonts w:ascii="Verdana" w:hAnsi="Verdana"/>
          <w:sz w:val="20"/>
          <w:szCs w:val="20"/>
        </w:rPr>
        <w:t>.         [ </w:t>
      </w:r>
      <w:hyperlink r:id="rId85" w:history="1">
        <w:r>
          <w:rPr>
            <w:rStyle w:val="Hyperlink"/>
            <w:rFonts w:ascii="Verdana" w:hAnsi="Verdana"/>
            <w:sz w:val="20"/>
            <w:szCs w:val="20"/>
          </w:rPr>
          <w:t>Links</w:t>
        </w:r>
      </w:hyperlink>
      <w:r>
        <w:rPr>
          <w:rFonts w:ascii="Verdana" w:hAnsi="Verdana"/>
          <w:sz w:val="20"/>
          <w:szCs w:val="20"/>
        </w:rPr>
        <w:t> ]</w:t>
      </w:r>
    </w:p>
    <w:p w14:paraId="6E88972D" w14:textId="77777777" w:rsidR="0022258D" w:rsidRDefault="0022258D" w:rsidP="0022258D">
      <w:pPr>
        <w:pStyle w:val="NormalWeb"/>
        <w:rPr>
          <w:rFonts w:ascii="Verdana" w:hAnsi="Verdana"/>
          <w:sz w:val="19"/>
          <w:szCs w:val="19"/>
        </w:rPr>
      </w:pPr>
      <w:r>
        <w:rPr>
          <w:rFonts w:ascii="Verdana" w:hAnsi="Verdana"/>
          <w:sz w:val="20"/>
          <w:szCs w:val="20"/>
        </w:rPr>
        <w:t xml:space="preserve">Mulaudzi, T.S., </w:t>
      </w:r>
      <w:proofErr w:type="spellStart"/>
      <w:r>
        <w:rPr>
          <w:rFonts w:ascii="Verdana" w:hAnsi="Verdana"/>
          <w:sz w:val="20"/>
          <w:szCs w:val="20"/>
        </w:rPr>
        <w:t>Maluta</w:t>
      </w:r>
      <w:proofErr w:type="spellEnd"/>
      <w:r>
        <w:rPr>
          <w:rFonts w:ascii="Verdana" w:hAnsi="Verdana"/>
          <w:sz w:val="20"/>
          <w:szCs w:val="20"/>
        </w:rPr>
        <w:t xml:space="preserve">, N.E. and Sankaran, V 2015. Evaluation of the global solar irradiance in the Vhembe district of Limpopo Province, South Africa, using different theoretical models. </w:t>
      </w:r>
      <w:r>
        <w:rPr>
          <w:rFonts w:ascii="Verdana" w:hAnsi="Verdana"/>
          <w:i/>
          <w:iCs/>
          <w:sz w:val="20"/>
          <w:szCs w:val="20"/>
        </w:rPr>
        <w:t xml:space="preserve">Turkish Journal of Physics </w:t>
      </w:r>
      <w:r>
        <w:rPr>
          <w:rFonts w:ascii="Verdana" w:hAnsi="Verdana"/>
          <w:sz w:val="20"/>
          <w:szCs w:val="20"/>
        </w:rPr>
        <w:t>39(3): 264-271.         [ </w:t>
      </w:r>
      <w:hyperlink r:id="rId86" w:history="1">
        <w:r>
          <w:rPr>
            <w:rStyle w:val="Hyperlink"/>
            <w:rFonts w:ascii="Verdana" w:hAnsi="Verdana"/>
            <w:sz w:val="20"/>
            <w:szCs w:val="20"/>
          </w:rPr>
          <w:t>Links</w:t>
        </w:r>
      </w:hyperlink>
      <w:r>
        <w:rPr>
          <w:rFonts w:ascii="Verdana" w:hAnsi="Verdana"/>
          <w:sz w:val="20"/>
          <w:szCs w:val="20"/>
        </w:rPr>
        <w:t> ]</w:t>
      </w:r>
    </w:p>
    <w:p w14:paraId="091C9821" w14:textId="77777777" w:rsidR="0022258D" w:rsidRDefault="0022258D" w:rsidP="0022258D">
      <w:pPr>
        <w:pStyle w:val="NormalWeb"/>
        <w:rPr>
          <w:rFonts w:ascii="Verdana" w:hAnsi="Verdana"/>
          <w:sz w:val="19"/>
          <w:szCs w:val="19"/>
        </w:rPr>
      </w:pPr>
      <w:proofErr w:type="spellStart"/>
      <w:r>
        <w:rPr>
          <w:rFonts w:ascii="Verdana" w:hAnsi="Verdana"/>
          <w:sz w:val="20"/>
          <w:szCs w:val="20"/>
        </w:rPr>
        <w:t>Nakumuryango</w:t>
      </w:r>
      <w:proofErr w:type="spellEnd"/>
      <w:r>
        <w:rPr>
          <w:rFonts w:ascii="Verdana" w:hAnsi="Verdana"/>
          <w:sz w:val="20"/>
          <w:szCs w:val="20"/>
        </w:rPr>
        <w:t xml:space="preserve">, A. and </w:t>
      </w:r>
      <w:proofErr w:type="spellStart"/>
      <w:r>
        <w:rPr>
          <w:rFonts w:ascii="Verdana" w:hAnsi="Verdana"/>
          <w:sz w:val="20"/>
          <w:szCs w:val="20"/>
        </w:rPr>
        <w:t>Inglesi-Lotz</w:t>
      </w:r>
      <w:proofErr w:type="spellEnd"/>
      <w:r>
        <w:rPr>
          <w:rFonts w:ascii="Verdana" w:hAnsi="Verdana"/>
          <w:sz w:val="20"/>
          <w:szCs w:val="20"/>
        </w:rPr>
        <w:t xml:space="preserve">, R. 2016. South Africa's performance on renewable energy and its relative position against the OECD countries and the rest of Africa. </w:t>
      </w:r>
      <w:r>
        <w:rPr>
          <w:rFonts w:ascii="Verdana" w:hAnsi="Verdana"/>
          <w:i/>
          <w:iCs/>
          <w:sz w:val="20"/>
          <w:szCs w:val="20"/>
        </w:rPr>
        <w:t xml:space="preserve">Renewable and Sustainable Energy Reviews </w:t>
      </w:r>
      <w:r>
        <w:rPr>
          <w:rFonts w:ascii="Verdana" w:hAnsi="Verdana"/>
          <w:sz w:val="20"/>
          <w:szCs w:val="20"/>
        </w:rPr>
        <w:t>56: 999-1007.         [ </w:t>
      </w:r>
      <w:hyperlink r:id="rId87" w:history="1">
        <w:r>
          <w:rPr>
            <w:rStyle w:val="Hyperlink"/>
            <w:rFonts w:ascii="Verdana" w:hAnsi="Verdana"/>
            <w:sz w:val="20"/>
            <w:szCs w:val="20"/>
          </w:rPr>
          <w:t>Links</w:t>
        </w:r>
      </w:hyperlink>
      <w:r>
        <w:rPr>
          <w:rFonts w:ascii="Verdana" w:hAnsi="Verdana"/>
          <w:sz w:val="20"/>
          <w:szCs w:val="20"/>
        </w:rPr>
        <w:t> ]</w:t>
      </w:r>
    </w:p>
    <w:p w14:paraId="2904EA5A" w14:textId="77777777" w:rsidR="0022258D" w:rsidRDefault="0022258D" w:rsidP="0022258D">
      <w:pPr>
        <w:pStyle w:val="NormalWeb"/>
        <w:rPr>
          <w:rFonts w:ascii="Verdana" w:hAnsi="Verdana"/>
          <w:sz w:val="19"/>
          <w:szCs w:val="19"/>
        </w:rPr>
      </w:pPr>
      <w:r>
        <w:rPr>
          <w:rFonts w:ascii="Verdana" w:hAnsi="Verdana"/>
          <w:sz w:val="20"/>
          <w:szCs w:val="20"/>
        </w:rPr>
        <w:t>Perez-</w:t>
      </w:r>
      <w:proofErr w:type="spellStart"/>
      <w:r>
        <w:rPr>
          <w:rFonts w:ascii="Verdana" w:hAnsi="Verdana"/>
          <w:sz w:val="20"/>
          <w:szCs w:val="20"/>
        </w:rPr>
        <w:t>Astudillo</w:t>
      </w:r>
      <w:proofErr w:type="spellEnd"/>
      <w:r>
        <w:rPr>
          <w:rFonts w:ascii="Verdana" w:hAnsi="Verdana"/>
          <w:sz w:val="20"/>
          <w:szCs w:val="20"/>
        </w:rPr>
        <w:t xml:space="preserve">, D. and </w:t>
      </w:r>
      <w:proofErr w:type="spellStart"/>
      <w:r>
        <w:rPr>
          <w:rFonts w:ascii="Verdana" w:hAnsi="Verdana"/>
          <w:sz w:val="20"/>
          <w:szCs w:val="20"/>
        </w:rPr>
        <w:t>Bachour</w:t>
      </w:r>
      <w:proofErr w:type="spellEnd"/>
      <w:r>
        <w:rPr>
          <w:rFonts w:ascii="Verdana" w:hAnsi="Verdana"/>
          <w:sz w:val="20"/>
          <w:szCs w:val="20"/>
        </w:rPr>
        <w:t xml:space="preserve">, D. 2014. DNI, GHI and DHI ground measurements in Doha, Qatar. </w:t>
      </w:r>
      <w:r>
        <w:rPr>
          <w:rFonts w:ascii="Verdana" w:hAnsi="Verdana"/>
          <w:i/>
          <w:iCs/>
          <w:sz w:val="20"/>
          <w:szCs w:val="20"/>
        </w:rPr>
        <w:t xml:space="preserve">Energy Procedia </w:t>
      </w:r>
      <w:r>
        <w:rPr>
          <w:rFonts w:ascii="Verdana" w:hAnsi="Verdana"/>
          <w:sz w:val="20"/>
          <w:szCs w:val="20"/>
        </w:rPr>
        <w:t>49: 2398-2404.         [ </w:t>
      </w:r>
      <w:hyperlink r:id="rId88" w:history="1">
        <w:r>
          <w:rPr>
            <w:rStyle w:val="Hyperlink"/>
            <w:rFonts w:ascii="Verdana" w:hAnsi="Verdana"/>
            <w:sz w:val="20"/>
            <w:szCs w:val="20"/>
          </w:rPr>
          <w:t>Links</w:t>
        </w:r>
      </w:hyperlink>
      <w:r>
        <w:rPr>
          <w:rFonts w:ascii="Verdana" w:hAnsi="Verdana"/>
          <w:sz w:val="20"/>
          <w:szCs w:val="20"/>
        </w:rPr>
        <w:t> ]</w:t>
      </w:r>
    </w:p>
    <w:p w14:paraId="3C9F59A9" w14:textId="77777777" w:rsidR="0022258D" w:rsidRDefault="0022258D" w:rsidP="0022258D">
      <w:pPr>
        <w:pStyle w:val="NormalWeb"/>
        <w:rPr>
          <w:rFonts w:ascii="Verdana" w:hAnsi="Verdana"/>
          <w:sz w:val="19"/>
          <w:szCs w:val="19"/>
        </w:rPr>
      </w:pPr>
      <w:r>
        <w:rPr>
          <w:rFonts w:ascii="Verdana" w:hAnsi="Verdana"/>
          <w:sz w:val="20"/>
          <w:szCs w:val="20"/>
        </w:rPr>
        <w:lastRenderedPageBreak/>
        <w:t>Power, H. C., and Mills, D. M. 2004. Trends in solar radiation over South Africa and Namibia during the period 1957-1997. Presented at American Geophysical Union Spring Meeting 2004.         [ </w:t>
      </w:r>
      <w:hyperlink r:id="rId89" w:history="1">
        <w:r>
          <w:rPr>
            <w:rStyle w:val="Hyperlink"/>
            <w:rFonts w:ascii="Verdana" w:hAnsi="Verdana"/>
            <w:sz w:val="20"/>
            <w:szCs w:val="20"/>
          </w:rPr>
          <w:t>Links</w:t>
        </w:r>
      </w:hyperlink>
      <w:r>
        <w:rPr>
          <w:rFonts w:ascii="Verdana" w:hAnsi="Verdana"/>
          <w:sz w:val="20"/>
          <w:szCs w:val="20"/>
        </w:rPr>
        <w:t> ]</w:t>
      </w:r>
    </w:p>
    <w:p w14:paraId="483F6F80" w14:textId="77777777" w:rsidR="0022258D" w:rsidRDefault="0022258D" w:rsidP="0022258D">
      <w:pPr>
        <w:pStyle w:val="NormalWeb"/>
        <w:rPr>
          <w:rFonts w:ascii="Verdana" w:hAnsi="Verdana"/>
          <w:sz w:val="19"/>
          <w:szCs w:val="19"/>
        </w:rPr>
      </w:pPr>
      <w:r>
        <w:rPr>
          <w:rFonts w:ascii="Verdana" w:hAnsi="Verdana"/>
          <w:sz w:val="20"/>
          <w:szCs w:val="20"/>
        </w:rPr>
        <w:t xml:space="preserve">Rees, W.G., 2013. </w:t>
      </w:r>
      <w:r>
        <w:rPr>
          <w:rFonts w:ascii="Verdana" w:hAnsi="Verdana"/>
          <w:i/>
          <w:iCs/>
          <w:sz w:val="20"/>
          <w:szCs w:val="20"/>
        </w:rPr>
        <w:t xml:space="preserve">Physical principles of remote sensing. </w:t>
      </w:r>
      <w:r>
        <w:rPr>
          <w:rFonts w:ascii="Verdana" w:hAnsi="Verdana"/>
          <w:sz w:val="20"/>
          <w:szCs w:val="20"/>
        </w:rPr>
        <w:t>Cambridge University Press.         [ </w:t>
      </w:r>
      <w:hyperlink r:id="rId90" w:history="1">
        <w:r>
          <w:rPr>
            <w:rStyle w:val="Hyperlink"/>
            <w:rFonts w:ascii="Verdana" w:hAnsi="Verdana"/>
            <w:sz w:val="20"/>
            <w:szCs w:val="20"/>
          </w:rPr>
          <w:t>Links</w:t>
        </w:r>
      </w:hyperlink>
      <w:r>
        <w:rPr>
          <w:rFonts w:ascii="Verdana" w:hAnsi="Verdana"/>
          <w:sz w:val="20"/>
          <w:szCs w:val="20"/>
        </w:rPr>
        <w:t> ]</w:t>
      </w:r>
    </w:p>
    <w:p w14:paraId="44A569CD" w14:textId="77777777" w:rsidR="0022258D" w:rsidRDefault="0022258D" w:rsidP="0022258D">
      <w:pPr>
        <w:pStyle w:val="NormalWeb"/>
        <w:rPr>
          <w:rFonts w:ascii="Verdana" w:hAnsi="Verdana"/>
          <w:sz w:val="19"/>
          <w:szCs w:val="19"/>
        </w:rPr>
      </w:pPr>
      <w:r>
        <w:rPr>
          <w:rFonts w:ascii="Verdana" w:hAnsi="Verdana"/>
          <w:sz w:val="20"/>
          <w:szCs w:val="20"/>
        </w:rPr>
        <w:t xml:space="preserve">Ross, K.E., </w:t>
      </w:r>
      <w:proofErr w:type="spellStart"/>
      <w:r>
        <w:rPr>
          <w:rFonts w:ascii="Verdana" w:hAnsi="Verdana"/>
          <w:sz w:val="20"/>
          <w:szCs w:val="20"/>
        </w:rPr>
        <w:t>Piketh</w:t>
      </w:r>
      <w:proofErr w:type="spellEnd"/>
      <w:r>
        <w:rPr>
          <w:rFonts w:ascii="Verdana" w:hAnsi="Verdana"/>
          <w:sz w:val="20"/>
          <w:szCs w:val="20"/>
        </w:rPr>
        <w:t xml:space="preserve">, S.J., </w:t>
      </w:r>
      <w:proofErr w:type="spellStart"/>
      <w:r>
        <w:rPr>
          <w:rFonts w:ascii="Verdana" w:hAnsi="Verdana"/>
          <w:sz w:val="20"/>
          <w:szCs w:val="20"/>
        </w:rPr>
        <w:t>Bruintjes</w:t>
      </w:r>
      <w:proofErr w:type="spellEnd"/>
      <w:r>
        <w:rPr>
          <w:rFonts w:ascii="Verdana" w:hAnsi="Verdana"/>
          <w:sz w:val="20"/>
          <w:szCs w:val="20"/>
        </w:rPr>
        <w:t xml:space="preserve">, R.T., Burger, R.P, Swap, R.J. and </w:t>
      </w:r>
      <w:proofErr w:type="spellStart"/>
      <w:r>
        <w:rPr>
          <w:rFonts w:ascii="Verdana" w:hAnsi="Verdana"/>
          <w:sz w:val="20"/>
          <w:szCs w:val="20"/>
        </w:rPr>
        <w:t>Annegarn</w:t>
      </w:r>
      <w:proofErr w:type="spellEnd"/>
      <w:r>
        <w:rPr>
          <w:rFonts w:ascii="Verdana" w:hAnsi="Verdana"/>
          <w:sz w:val="20"/>
          <w:szCs w:val="20"/>
        </w:rPr>
        <w:t xml:space="preserve">, H.J. 2003. Spatial and seasonal variations in CCN distribution and the aerosol-CCN relationship over southern Africa. </w:t>
      </w:r>
      <w:r>
        <w:rPr>
          <w:rFonts w:ascii="Verdana" w:hAnsi="Verdana"/>
          <w:i/>
          <w:iCs/>
          <w:sz w:val="20"/>
          <w:szCs w:val="20"/>
        </w:rPr>
        <w:t xml:space="preserve">Journal of Geophysical Research: Atmospheres </w:t>
      </w:r>
      <w:r>
        <w:rPr>
          <w:rFonts w:ascii="Verdana" w:hAnsi="Verdana"/>
          <w:sz w:val="20"/>
          <w:szCs w:val="20"/>
        </w:rPr>
        <w:t>108(D13).         [ </w:t>
      </w:r>
      <w:hyperlink r:id="rId91" w:history="1">
        <w:r>
          <w:rPr>
            <w:rStyle w:val="Hyperlink"/>
            <w:rFonts w:ascii="Verdana" w:hAnsi="Verdana"/>
            <w:sz w:val="20"/>
            <w:szCs w:val="20"/>
          </w:rPr>
          <w:t>Links</w:t>
        </w:r>
      </w:hyperlink>
      <w:r>
        <w:rPr>
          <w:rFonts w:ascii="Verdana" w:hAnsi="Verdana"/>
          <w:sz w:val="20"/>
          <w:szCs w:val="20"/>
        </w:rPr>
        <w:t> ]</w:t>
      </w:r>
    </w:p>
    <w:p w14:paraId="18D8B152" w14:textId="77777777" w:rsidR="0022258D" w:rsidRDefault="0022258D" w:rsidP="0022258D">
      <w:pPr>
        <w:pStyle w:val="NormalWeb"/>
        <w:rPr>
          <w:rFonts w:ascii="Verdana" w:hAnsi="Verdana"/>
          <w:sz w:val="19"/>
          <w:szCs w:val="19"/>
        </w:rPr>
      </w:pPr>
      <w:r>
        <w:rPr>
          <w:rFonts w:ascii="Verdana" w:hAnsi="Verdana"/>
          <w:sz w:val="20"/>
          <w:szCs w:val="20"/>
        </w:rPr>
        <w:t xml:space="preserve">Ruiz-Arias, J.A., </w:t>
      </w:r>
      <w:proofErr w:type="spellStart"/>
      <w:r>
        <w:rPr>
          <w:rFonts w:ascii="Verdana" w:hAnsi="Verdana"/>
          <w:sz w:val="20"/>
          <w:szCs w:val="20"/>
        </w:rPr>
        <w:t>Arbizu-Barrena</w:t>
      </w:r>
      <w:proofErr w:type="spellEnd"/>
      <w:r>
        <w:rPr>
          <w:rFonts w:ascii="Verdana" w:hAnsi="Verdana"/>
          <w:sz w:val="20"/>
          <w:szCs w:val="20"/>
        </w:rPr>
        <w:t>, C., Santos-</w:t>
      </w:r>
      <w:proofErr w:type="spellStart"/>
      <w:r>
        <w:rPr>
          <w:rFonts w:ascii="Verdana" w:hAnsi="Verdana"/>
          <w:sz w:val="20"/>
          <w:szCs w:val="20"/>
        </w:rPr>
        <w:t>Alamillos</w:t>
      </w:r>
      <w:proofErr w:type="spellEnd"/>
      <w:r>
        <w:rPr>
          <w:rFonts w:ascii="Verdana" w:hAnsi="Verdana"/>
          <w:sz w:val="20"/>
          <w:szCs w:val="20"/>
        </w:rPr>
        <w:t xml:space="preserve">, FJ., Tovar-Pescador, J. and </w:t>
      </w:r>
      <w:proofErr w:type="spellStart"/>
      <w:r>
        <w:rPr>
          <w:rFonts w:ascii="Verdana" w:hAnsi="Verdana"/>
          <w:sz w:val="20"/>
          <w:szCs w:val="20"/>
        </w:rPr>
        <w:t>Pozo</w:t>
      </w:r>
      <w:proofErr w:type="spellEnd"/>
      <w:r>
        <w:rPr>
          <w:rFonts w:ascii="Verdana" w:hAnsi="Verdana"/>
          <w:sz w:val="20"/>
          <w:szCs w:val="20"/>
        </w:rPr>
        <w:t xml:space="preserve">-Vázquez, D. 2016. Assessing the surface solar radiation budget in the WRF model: A spatiotemporal analysis of the bias and its causes. </w:t>
      </w:r>
      <w:r>
        <w:rPr>
          <w:rFonts w:ascii="Verdana" w:hAnsi="Verdana"/>
          <w:i/>
          <w:iCs/>
          <w:sz w:val="20"/>
          <w:szCs w:val="20"/>
        </w:rPr>
        <w:t xml:space="preserve">Monthly Weather Review </w:t>
      </w:r>
      <w:r>
        <w:rPr>
          <w:rFonts w:ascii="Verdana" w:hAnsi="Verdana"/>
          <w:sz w:val="20"/>
          <w:szCs w:val="20"/>
        </w:rPr>
        <w:t>144(2): 703-711.         [ </w:t>
      </w:r>
      <w:hyperlink r:id="rId92" w:history="1">
        <w:r>
          <w:rPr>
            <w:rStyle w:val="Hyperlink"/>
            <w:rFonts w:ascii="Verdana" w:hAnsi="Verdana"/>
            <w:sz w:val="20"/>
            <w:szCs w:val="20"/>
          </w:rPr>
          <w:t>Links</w:t>
        </w:r>
      </w:hyperlink>
      <w:r>
        <w:rPr>
          <w:rFonts w:ascii="Verdana" w:hAnsi="Verdana"/>
          <w:sz w:val="20"/>
          <w:szCs w:val="20"/>
        </w:rPr>
        <w:t> ]</w:t>
      </w:r>
    </w:p>
    <w:p w14:paraId="4C175414" w14:textId="77777777" w:rsidR="0022258D" w:rsidRDefault="0022258D" w:rsidP="0022258D">
      <w:pPr>
        <w:pStyle w:val="NormalWeb"/>
        <w:rPr>
          <w:rFonts w:ascii="Verdana" w:hAnsi="Verdana"/>
          <w:sz w:val="19"/>
          <w:szCs w:val="19"/>
        </w:rPr>
      </w:pPr>
      <w:r>
        <w:rPr>
          <w:rFonts w:ascii="Verdana" w:hAnsi="Verdana"/>
          <w:sz w:val="20"/>
          <w:szCs w:val="20"/>
        </w:rPr>
        <w:t xml:space="preserve">Sanchez-Romero, A., Gonzalez, J.A., </w:t>
      </w:r>
      <w:proofErr w:type="spellStart"/>
      <w:r>
        <w:rPr>
          <w:rFonts w:ascii="Verdana" w:hAnsi="Verdana"/>
          <w:sz w:val="20"/>
          <w:szCs w:val="20"/>
        </w:rPr>
        <w:t>Calbó</w:t>
      </w:r>
      <w:proofErr w:type="spellEnd"/>
      <w:r>
        <w:rPr>
          <w:rFonts w:ascii="Verdana" w:hAnsi="Verdana"/>
          <w:sz w:val="20"/>
          <w:szCs w:val="20"/>
        </w:rPr>
        <w:t xml:space="preserve">, J. and Sánchez-Lorenzo, A. 2015. Using digital image processing to characterize the Campbell-Stokes sunshine recorder and to derive high-temporal resolution direct solar irradiance. </w:t>
      </w:r>
      <w:r>
        <w:rPr>
          <w:rFonts w:ascii="Verdana" w:hAnsi="Verdana"/>
          <w:i/>
          <w:iCs/>
          <w:sz w:val="20"/>
          <w:szCs w:val="20"/>
        </w:rPr>
        <w:t xml:space="preserve">Atmospheric Measurement Techniques </w:t>
      </w:r>
      <w:r>
        <w:rPr>
          <w:rFonts w:ascii="Verdana" w:hAnsi="Verdana"/>
          <w:sz w:val="20"/>
          <w:szCs w:val="20"/>
        </w:rPr>
        <w:t>8(1): 183-194.         [ </w:t>
      </w:r>
      <w:hyperlink r:id="rId93" w:history="1">
        <w:r>
          <w:rPr>
            <w:rStyle w:val="Hyperlink"/>
            <w:rFonts w:ascii="Verdana" w:hAnsi="Verdana"/>
            <w:sz w:val="20"/>
            <w:szCs w:val="20"/>
          </w:rPr>
          <w:t>Links</w:t>
        </w:r>
      </w:hyperlink>
      <w:r>
        <w:rPr>
          <w:rFonts w:ascii="Verdana" w:hAnsi="Verdana"/>
          <w:sz w:val="20"/>
          <w:szCs w:val="20"/>
        </w:rPr>
        <w:t> ]</w:t>
      </w:r>
    </w:p>
    <w:p w14:paraId="3601736F" w14:textId="77777777" w:rsidR="0022258D" w:rsidRDefault="0022258D" w:rsidP="0022258D">
      <w:pPr>
        <w:pStyle w:val="NormalWeb"/>
        <w:rPr>
          <w:rFonts w:ascii="Verdana" w:hAnsi="Verdana"/>
          <w:sz w:val="19"/>
          <w:szCs w:val="19"/>
        </w:rPr>
      </w:pPr>
      <w:r>
        <w:rPr>
          <w:rFonts w:ascii="Verdana" w:hAnsi="Verdana"/>
          <w:sz w:val="20"/>
          <w:szCs w:val="20"/>
        </w:rPr>
        <w:t xml:space="preserve">Sanchez-Romero, A., Sanchez-Lorenzo, A., González, J.A. and </w:t>
      </w:r>
      <w:proofErr w:type="spellStart"/>
      <w:r>
        <w:rPr>
          <w:rFonts w:ascii="Verdana" w:hAnsi="Verdana"/>
          <w:sz w:val="20"/>
          <w:szCs w:val="20"/>
        </w:rPr>
        <w:t>Calbó</w:t>
      </w:r>
      <w:proofErr w:type="spellEnd"/>
      <w:r>
        <w:rPr>
          <w:rFonts w:ascii="Verdana" w:hAnsi="Verdana"/>
          <w:sz w:val="20"/>
          <w:szCs w:val="20"/>
        </w:rPr>
        <w:t xml:space="preserve">, J. 2016. Reconstruction of long- term aerosol optical depth series with sunshine duration records. </w:t>
      </w:r>
      <w:r>
        <w:rPr>
          <w:rFonts w:ascii="Verdana" w:hAnsi="Verdana"/>
          <w:i/>
          <w:iCs/>
          <w:sz w:val="20"/>
          <w:szCs w:val="20"/>
        </w:rPr>
        <w:t xml:space="preserve">Geophysical Research Letters </w:t>
      </w:r>
      <w:r>
        <w:rPr>
          <w:rFonts w:ascii="Verdana" w:hAnsi="Verdana"/>
          <w:sz w:val="20"/>
          <w:szCs w:val="20"/>
        </w:rPr>
        <w:t xml:space="preserve">43: 1296-1305. </w:t>
      </w:r>
      <w:hyperlink r:id="rId94" w:tgtFrame="_blank" w:history="1">
        <w:r>
          <w:rPr>
            <w:rStyle w:val="Hyperlink"/>
            <w:rFonts w:ascii="Verdana" w:hAnsi="Verdana"/>
            <w:sz w:val="20"/>
            <w:szCs w:val="20"/>
          </w:rPr>
          <w:t>https://doi.org/10.1002/2015GL067543</w:t>
        </w:r>
      </w:hyperlink>
      <w:r>
        <w:rPr>
          <w:rFonts w:ascii="Verdana" w:hAnsi="Verdana"/>
          <w:sz w:val="20"/>
          <w:szCs w:val="20"/>
        </w:rPr>
        <w:t>.         [ </w:t>
      </w:r>
      <w:hyperlink r:id="rId95" w:history="1">
        <w:r>
          <w:rPr>
            <w:rStyle w:val="Hyperlink"/>
            <w:rFonts w:ascii="Verdana" w:hAnsi="Verdana"/>
            <w:sz w:val="20"/>
            <w:szCs w:val="20"/>
          </w:rPr>
          <w:t>Links</w:t>
        </w:r>
      </w:hyperlink>
      <w:r>
        <w:rPr>
          <w:rFonts w:ascii="Verdana" w:hAnsi="Verdana"/>
          <w:sz w:val="20"/>
          <w:szCs w:val="20"/>
        </w:rPr>
        <w:t> ]</w:t>
      </w:r>
    </w:p>
    <w:p w14:paraId="70B63FF0" w14:textId="77777777" w:rsidR="0022258D" w:rsidRDefault="0022258D" w:rsidP="0022258D">
      <w:pPr>
        <w:pStyle w:val="NormalWeb"/>
        <w:rPr>
          <w:rFonts w:ascii="Verdana" w:hAnsi="Verdana"/>
          <w:sz w:val="19"/>
          <w:szCs w:val="19"/>
        </w:rPr>
      </w:pPr>
      <w:proofErr w:type="spellStart"/>
      <w:r>
        <w:rPr>
          <w:rFonts w:ascii="Verdana" w:hAnsi="Verdana"/>
          <w:sz w:val="20"/>
          <w:szCs w:val="20"/>
        </w:rPr>
        <w:t>Stanhill</w:t>
      </w:r>
      <w:proofErr w:type="spellEnd"/>
      <w:r>
        <w:rPr>
          <w:rFonts w:ascii="Verdana" w:hAnsi="Verdana"/>
          <w:sz w:val="20"/>
          <w:szCs w:val="20"/>
        </w:rPr>
        <w:t xml:space="preserve">, G. 2003. Through a glass brightly: some new light on the Campbell-Stokes sunshine recorder. </w:t>
      </w:r>
      <w:r>
        <w:rPr>
          <w:rFonts w:ascii="Verdana" w:hAnsi="Verdana"/>
          <w:i/>
          <w:iCs/>
          <w:sz w:val="20"/>
          <w:szCs w:val="20"/>
        </w:rPr>
        <w:t xml:space="preserve">Weather </w:t>
      </w:r>
      <w:r>
        <w:rPr>
          <w:rFonts w:ascii="Verdana" w:hAnsi="Verdana"/>
          <w:sz w:val="20"/>
          <w:szCs w:val="20"/>
        </w:rPr>
        <w:t>58(1): 3-11.         [ </w:t>
      </w:r>
      <w:hyperlink r:id="rId96" w:history="1">
        <w:r>
          <w:rPr>
            <w:rStyle w:val="Hyperlink"/>
            <w:rFonts w:ascii="Verdana" w:hAnsi="Verdana"/>
            <w:sz w:val="20"/>
            <w:szCs w:val="20"/>
          </w:rPr>
          <w:t>Links</w:t>
        </w:r>
      </w:hyperlink>
      <w:r>
        <w:rPr>
          <w:rFonts w:ascii="Verdana" w:hAnsi="Verdana"/>
          <w:sz w:val="20"/>
          <w:szCs w:val="20"/>
        </w:rPr>
        <w:t> ]</w:t>
      </w:r>
    </w:p>
    <w:p w14:paraId="1ABFD97E" w14:textId="77777777" w:rsidR="0022258D" w:rsidRDefault="0022258D" w:rsidP="0022258D">
      <w:pPr>
        <w:pStyle w:val="NormalWeb"/>
        <w:rPr>
          <w:rFonts w:ascii="Verdana" w:hAnsi="Verdana"/>
          <w:sz w:val="19"/>
          <w:szCs w:val="19"/>
        </w:rPr>
      </w:pPr>
      <w:proofErr w:type="spellStart"/>
      <w:r>
        <w:rPr>
          <w:rFonts w:ascii="Verdana" w:hAnsi="Verdana"/>
          <w:sz w:val="20"/>
          <w:szCs w:val="20"/>
        </w:rPr>
        <w:t>Statheropoulos</w:t>
      </w:r>
      <w:proofErr w:type="spellEnd"/>
      <w:r>
        <w:rPr>
          <w:rFonts w:ascii="Verdana" w:hAnsi="Verdana"/>
          <w:sz w:val="20"/>
          <w:szCs w:val="20"/>
        </w:rPr>
        <w:t xml:space="preserve">, M., Vassiliadis, N. and </w:t>
      </w:r>
      <w:proofErr w:type="spellStart"/>
      <w:r>
        <w:rPr>
          <w:rFonts w:ascii="Verdana" w:hAnsi="Verdana"/>
          <w:sz w:val="20"/>
          <w:szCs w:val="20"/>
        </w:rPr>
        <w:t>Pappa</w:t>
      </w:r>
      <w:proofErr w:type="spellEnd"/>
      <w:r>
        <w:rPr>
          <w:rFonts w:ascii="Verdana" w:hAnsi="Verdana"/>
          <w:sz w:val="20"/>
          <w:szCs w:val="20"/>
        </w:rPr>
        <w:t xml:space="preserve">, A. 1998. Principal component and canonical correlation analysis for examining air pollution and meteorological data. </w:t>
      </w:r>
      <w:r>
        <w:rPr>
          <w:rFonts w:ascii="Verdana" w:hAnsi="Verdana"/>
          <w:i/>
          <w:iCs/>
          <w:sz w:val="20"/>
          <w:szCs w:val="20"/>
        </w:rPr>
        <w:t xml:space="preserve">Atmospheric Environment </w:t>
      </w:r>
      <w:r>
        <w:rPr>
          <w:rFonts w:ascii="Verdana" w:hAnsi="Verdana"/>
          <w:sz w:val="20"/>
          <w:szCs w:val="20"/>
        </w:rPr>
        <w:t>32(6): 1087-1095.         [ </w:t>
      </w:r>
      <w:hyperlink r:id="rId97" w:history="1">
        <w:r>
          <w:rPr>
            <w:rStyle w:val="Hyperlink"/>
            <w:rFonts w:ascii="Verdana" w:hAnsi="Verdana"/>
            <w:sz w:val="20"/>
            <w:szCs w:val="20"/>
          </w:rPr>
          <w:t>Links</w:t>
        </w:r>
      </w:hyperlink>
      <w:r>
        <w:rPr>
          <w:rFonts w:ascii="Verdana" w:hAnsi="Verdana"/>
          <w:sz w:val="20"/>
          <w:szCs w:val="20"/>
        </w:rPr>
        <w:t> ]</w:t>
      </w:r>
    </w:p>
    <w:p w14:paraId="4D0781A0" w14:textId="77777777" w:rsidR="0022258D" w:rsidRDefault="0022258D" w:rsidP="0022258D">
      <w:pPr>
        <w:pStyle w:val="NormalWeb"/>
        <w:rPr>
          <w:rFonts w:ascii="Verdana" w:hAnsi="Verdana"/>
          <w:sz w:val="19"/>
          <w:szCs w:val="19"/>
        </w:rPr>
      </w:pPr>
      <w:r>
        <w:rPr>
          <w:rFonts w:ascii="Verdana" w:hAnsi="Verdana"/>
          <w:sz w:val="20"/>
          <w:szCs w:val="20"/>
        </w:rPr>
        <w:t xml:space="preserve">Singer, M., 2010. Changing conceptions of South African coal-based pollution, with special reference to the Witbank coalfield, 1906-1978. University of the Witwatersrand, Johannesburg (Doctoral dissertation). </w:t>
      </w:r>
      <w:hyperlink r:id="rId98" w:tgtFrame="_blank" w:history="1">
        <w:r>
          <w:rPr>
            <w:rStyle w:val="Hyperlink"/>
            <w:rFonts w:ascii="Verdana" w:hAnsi="Verdana"/>
            <w:sz w:val="20"/>
            <w:szCs w:val="20"/>
          </w:rPr>
          <w:t>http://hdl.handle.net/10539/8366</w:t>
        </w:r>
      </w:hyperlink>
      <w:r>
        <w:rPr>
          <w:rFonts w:ascii="Verdana" w:hAnsi="Verdana"/>
          <w:sz w:val="20"/>
          <w:szCs w:val="20"/>
        </w:rPr>
        <w:t>.         [ </w:t>
      </w:r>
      <w:hyperlink r:id="rId99" w:history="1">
        <w:r>
          <w:rPr>
            <w:rStyle w:val="Hyperlink"/>
            <w:rFonts w:ascii="Verdana" w:hAnsi="Verdana"/>
            <w:sz w:val="20"/>
            <w:szCs w:val="20"/>
          </w:rPr>
          <w:t>Links</w:t>
        </w:r>
      </w:hyperlink>
      <w:r>
        <w:rPr>
          <w:rFonts w:ascii="Verdana" w:hAnsi="Verdana"/>
          <w:sz w:val="20"/>
          <w:szCs w:val="20"/>
        </w:rPr>
        <w:t> ]</w:t>
      </w:r>
    </w:p>
    <w:p w14:paraId="3404C293" w14:textId="77777777" w:rsidR="0022258D" w:rsidRDefault="0022258D" w:rsidP="0022258D">
      <w:pPr>
        <w:pStyle w:val="NormalWeb"/>
        <w:rPr>
          <w:rFonts w:ascii="Verdana" w:hAnsi="Verdana"/>
          <w:sz w:val="19"/>
          <w:szCs w:val="19"/>
        </w:rPr>
      </w:pPr>
      <w:r>
        <w:rPr>
          <w:rFonts w:ascii="Verdana" w:hAnsi="Verdana"/>
          <w:sz w:val="20"/>
          <w:szCs w:val="20"/>
        </w:rPr>
        <w:t xml:space="preserve">Singh, J., Kumar, M. and Bhattacharya, B.K. 2011. Estimation of diffuse insolation for Nagpur, India. </w:t>
      </w:r>
      <w:r>
        <w:rPr>
          <w:rFonts w:ascii="Verdana" w:hAnsi="Verdana"/>
          <w:i/>
          <w:iCs/>
          <w:sz w:val="20"/>
          <w:szCs w:val="20"/>
        </w:rPr>
        <w:t xml:space="preserve">Geophysical Research Abstracts </w:t>
      </w:r>
      <w:r>
        <w:rPr>
          <w:rFonts w:ascii="Verdana" w:hAnsi="Verdana"/>
          <w:sz w:val="20"/>
          <w:szCs w:val="20"/>
        </w:rPr>
        <w:t>13, EGU2011-906-1.         [ </w:t>
      </w:r>
      <w:hyperlink r:id="rId100" w:history="1">
        <w:r>
          <w:rPr>
            <w:rStyle w:val="Hyperlink"/>
            <w:rFonts w:ascii="Verdana" w:hAnsi="Verdana"/>
            <w:sz w:val="20"/>
            <w:szCs w:val="20"/>
          </w:rPr>
          <w:t>Links</w:t>
        </w:r>
      </w:hyperlink>
      <w:r>
        <w:rPr>
          <w:rFonts w:ascii="Verdana" w:hAnsi="Verdana"/>
          <w:sz w:val="20"/>
          <w:szCs w:val="20"/>
        </w:rPr>
        <w:t> ]</w:t>
      </w:r>
    </w:p>
    <w:p w14:paraId="35A94703" w14:textId="77777777" w:rsidR="0022258D" w:rsidRDefault="0022258D" w:rsidP="0022258D">
      <w:pPr>
        <w:pStyle w:val="NormalWeb"/>
        <w:rPr>
          <w:rFonts w:ascii="Verdana" w:hAnsi="Verdana"/>
          <w:sz w:val="19"/>
          <w:szCs w:val="19"/>
        </w:rPr>
      </w:pPr>
      <w:r>
        <w:rPr>
          <w:rFonts w:ascii="Verdana" w:hAnsi="Verdana"/>
          <w:sz w:val="20"/>
          <w:szCs w:val="20"/>
        </w:rPr>
        <w:t xml:space="preserve">Singh, J. 2016. Ranking South African provinces </w:t>
      </w:r>
      <w:proofErr w:type="gramStart"/>
      <w:r>
        <w:rPr>
          <w:rFonts w:ascii="Verdana" w:hAnsi="Verdana"/>
          <w:sz w:val="20"/>
          <w:szCs w:val="20"/>
        </w:rPr>
        <w:t>on the basis of</w:t>
      </w:r>
      <w:proofErr w:type="gramEnd"/>
      <w:r>
        <w:rPr>
          <w:rFonts w:ascii="Verdana" w:hAnsi="Verdana"/>
          <w:sz w:val="20"/>
          <w:szCs w:val="20"/>
        </w:rPr>
        <w:t xml:space="preserve"> MERRA 2D surface incident shortwave flux. </w:t>
      </w:r>
      <w:r>
        <w:rPr>
          <w:rFonts w:ascii="Verdana" w:hAnsi="Verdana"/>
          <w:i/>
          <w:iCs/>
          <w:sz w:val="20"/>
          <w:szCs w:val="20"/>
        </w:rPr>
        <w:t xml:space="preserve">Journal of Energy in Southern Africa </w:t>
      </w:r>
      <w:r>
        <w:rPr>
          <w:rFonts w:ascii="Verdana" w:hAnsi="Verdana"/>
          <w:sz w:val="20"/>
          <w:szCs w:val="20"/>
        </w:rPr>
        <w:t>27(3): 50-57.         [ </w:t>
      </w:r>
      <w:hyperlink r:id="rId101" w:history="1">
        <w:r>
          <w:rPr>
            <w:rStyle w:val="Hyperlink"/>
            <w:rFonts w:ascii="Verdana" w:hAnsi="Verdana"/>
            <w:sz w:val="20"/>
            <w:szCs w:val="20"/>
          </w:rPr>
          <w:t>Links</w:t>
        </w:r>
      </w:hyperlink>
      <w:r>
        <w:rPr>
          <w:rFonts w:ascii="Verdana" w:hAnsi="Verdana"/>
          <w:sz w:val="20"/>
          <w:szCs w:val="20"/>
        </w:rPr>
        <w:t> ]</w:t>
      </w:r>
    </w:p>
    <w:p w14:paraId="3A160E1D" w14:textId="77777777" w:rsidR="0022258D" w:rsidRDefault="0022258D" w:rsidP="0022258D">
      <w:pPr>
        <w:pStyle w:val="NormalWeb"/>
        <w:rPr>
          <w:rFonts w:ascii="Verdana" w:hAnsi="Verdana"/>
          <w:sz w:val="19"/>
          <w:szCs w:val="19"/>
        </w:rPr>
      </w:pPr>
      <w:r>
        <w:rPr>
          <w:rFonts w:ascii="Verdana" w:hAnsi="Verdana"/>
          <w:sz w:val="20"/>
          <w:szCs w:val="20"/>
        </w:rPr>
        <w:t xml:space="preserve">Singh, J., Bhattacharya, B.K. and Kumar, M. 2012. Solar radiation and evaporation trend over India. </w:t>
      </w:r>
      <w:r>
        <w:rPr>
          <w:rFonts w:ascii="Verdana" w:hAnsi="Verdana"/>
          <w:i/>
          <w:iCs/>
          <w:sz w:val="20"/>
          <w:szCs w:val="20"/>
        </w:rPr>
        <w:t xml:space="preserve">Journal of Earth Science and Engineering </w:t>
      </w:r>
      <w:r>
        <w:rPr>
          <w:rFonts w:ascii="Verdana" w:hAnsi="Verdana"/>
          <w:sz w:val="20"/>
          <w:szCs w:val="20"/>
        </w:rPr>
        <w:t>2(3): 160-165.         [ </w:t>
      </w:r>
      <w:hyperlink r:id="rId102" w:history="1">
        <w:r>
          <w:rPr>
            <w:rStyle w:val="Hyperlink"/>
            <w:rFonts w:ascii="Verdana" w:hAnsi="Verdana"/>
            <w:sz w:val="20"/>
            <w:szCs w:val="20"/>
          </w:rPr>
          <w:t>Links</w:t>
        </w:r>
      </w:hyperlink>
      <w:r>
        <w:rPr>
          <w:rFonts w:ascii="Verdana" w:hAnsi="Verdana"/>
          <w:sz w:val="20"/>
          <w:szCs w:val="20"/>
        </w:rPr>
        <w:t> ]</w:t>
      </w:r>
    </w:p>
    <w:p w14:paraId="7B284812" w14:textId="77777777" w:rsidR="0022258D" w:rsidRDefault="0022258D" w:rsidP="0022258D">
      <w:pPr>
        <w:pStyle w:val="NormalWeb"/>
        <w:rPr>
          <w:rFonts w:ascii="Verdana" w:hAnsi="Verdana"/>
          <w:sz w:val="19"/>
          <w:szCs w:val="19"/>
        </w:rPr>
      </w:pPr>
      <w:r>
        <w:rPr>
          <w:rFonts w:ascii="Verdana" w:hAnsi="Verdana"/>
          <w:sz w:val="20"/>
          <w:szCs w:val="20"/>
        </w:rPr>
        <w:t xml:space="preserve">Singh, J. and Kumar, M. 2016. Solar radiation over four cities of India: Trend analysis using Mann-Kendall statistical test. </w:t>
      </w:r>
      <w:r>
        <w:rPr>
          <w:rFonts w:ascii="Verdana" w:hAnsi="Verdana"/>
          <w:i/>
          <w:iCs/>
          <w:sz w:val="20"/>
          <w:szCs w:val="20"/>
        </w:rPr>
        <w:t xml:space="preserve">International Journal of Renewable Energy Research (IJRER) </w:t>
      </w:r>
      <w:r>
        <w:rPr>
          <w:rFonts w:ascii="Verdana" w:hAnsi="Verdana"/>
          <w:sz w:val="20"/>
          <w:szCs w:val="20"/>
        </w:rPr>
        <w:t>6(4): 1385-1395.         [ </w:t>
      </w:r>
      <w:hyperlink r:id="rId103" w:history="1">
        <w:r>
          <w:rPr>
            <w:rStyle w:val="Hyperlink"/>
            <w:rFonts w:ascii="Verdana" w:hAnsi="Verdana"/>
            <w:sz w:val="20"/>
            <w:szCs w:val="20"/>
          </w:rPr>
          <w:t>Links</w:t>
        </w:r>
      </w:hyperlink>
      <w:r>
        <w:rPr>
          <w:rFonts w:ascii="Verdana" w:hAnsi="Verdana"/>
          <w:sz w:val="20"/>
          <w:szCs w:val="20"/>
        </w:rPr>
        <w:t> ]</w:t>
      </w:r>
    </w:p>
    <w:p w14:paraId="5361DD10" w14:textId="77777777" w:rsidR="0022258D" w:rsidRDefault="0022258D" w:rsidP="0022258D">
      <w:pPr>
        <w:pStyle w:val="NormalWeb"/>
        <w:rPr>
          <w:rFonts w:ascii="Verdana" w:hAnsi="Verdana"/>
          <w:sz w:val="19"/>
          <w:szCs w:val="19"/>
        </w:rPr>
      </w:pPr>
      <w:r>
        <w:rPr>
          <w:rFonts w:ascii="Verdana" w:hAnsi="Verdana"/>
          <w:sz w:val="20"/>
          <w:szCs w:val="20"/>
        </w:rPr>
        <w:t xml:space="preserve">Singh, J., Kumar, M. and Bhattacharya, B.K. 2012. Global radiation, transmissivity and bright sunshine hour trend over Nagpur in pre-monsoon and mon soon seasons. </w:t>
      </w:r>
      <w:r>
        <w:rPr>
          <w:rFonts w:ascii="Verdana" w:hAnsi="Verdana"/>
          <w:i/>
          <w:iCs/>
          <w:sz w:val="20"/>
          <w:szCs w:val="20"/>
        </w:rPr>
        <w:t xml:space="preserve">Atmospheric and Climate Sciences. </w:t>
      </w:r>
      <w:r>
        <w:rPr>
          <w:rFonts w:ascii="Verdana" w:hAnsi="Verdana"/>
          <w:sz w:val="20"/>
          <w:szCs w:val="20"/>
        </w:rPr>
        <w:t>2(2): 206-209.         [ </w:t>
      </w:r>
      <w:hyperlink r:id="rId104" w:history="1">
        <w:r>
          <w:rPr>
            <w:rStyle w:val="Hyperlink"/>
            <w:rFonts w:ascii="Verdana" w:hAnsi="Verdana"/>
            <w:sz w:val="20"/>
            <w:szCs w:val="20"/>
          </w:rPr>
          <w:t>Links</w:t>
        </w:r>
      </w:hyperlink>
      <w:r>
        <w:rPr>
          <w:rFonts w:ascii="Verdana" w:hAnsi="Verdana"/>
          <w:sz w:val="20"/>
          <w:szCs w:val="20"/>
        </w:rPr>
        <w:t> ]</w:t>
      </w:r>
    </w:p>
    <w:p w14:paraId="6C6A98D5" w14:textId="77777777" w:rsidR="0022258D" w:rsidRDefault="0022258D" w:rsidP="0022258D">
      <w:pPr>
        <w:pStyle w:val="NormalWeb"/>
        <w:rPr>
          <w:rFonts w:ascii="Verdana" w:hAnsi="Verdana"/>
          <w:sz w:val="19"/>
          <w:szCs w:val="19"/>
        </w:rPr>
      </w:pPr>
      <w:r>
        <w:rPr>
          <w:rFonts w:ascii="Verdana" w:hAnsi="Verdana"/>
          <w:sz w:val="20"/>
          <w:szCs w:val="20"/>
        </w:rPr>
        <w:lastRenderedPageBreak/>
        <w:t xml:space="preserve">Streets, D. G., Wu, Y., and Chin, M. 2006.Two-decadal aerosol trends as a likely explanation of the global dimming/brightening transition. </w:t>
      </w:r>
      <w:r>
        <w:rPr>
          <w:rFonts w:ascii="Verdana" w:hAnsi="Verdana"/>
          <w:i/>
          <w:iCs/>
          <w:sz w:val="20"/>
          <w:szCs w:val="20"/>
        </w:rPr>
        <w:t xml:space="preserve">Geophysical Research Letters </w:t>
      </w:r>
      <w:r>
        <w:rPr>
          <w:rFonts w:ascii="Verdana" w:hAnsi="Verdana"/>
          <w:sz w:val="20"/>
          <w:szCs w:val="20"/>
        </w:rPr>
        <w:t>33, L15806. Doi: 10.1029/2006gl026471.         [ </w:t>
      </w:r>
      <w:hyperlink r:id="rId105" w:history="1">
        <w:r>
          <w:rPr>
            <w:rStyle w:val="Hyperlink"/>
            <w:rFonts w:ascii="Verdana" w:hAnsi="Verdana"/>
            <w:sz w:val="20"/>
            <w:szCs w:val="20"/>
          </w:rPr>
          <w:t>Links</w:t>
        </w:r>
      </w:hyperlink>
      <w:r>
        <w:rPr>
          <w:rFonts w:ascii="Verdana" w:hAnsi="Verdana"/>
          <w:sz w:val="20"/>
          <w:szCs w:val="20"/>
        </w:rPr>
        <w:t> ]</w:t>
      </w:r>
    </w:p>
    <w:p w14:paraId="50762468" w14:textId="77777777" w:rsidR="0022258D" w:rsidRDefault="0022258D" w:rsidP="0022258D">
      <w:pPr>
        <w:pStyle w:val="NormalWeb"/>
        <w:rPr>
          <w:rFonts w:ascii="Verdana" w:hAnsi="Verdana"/>
          <w:sz w:val="19"/>
          <w:szCs w:val="19"/>
        </w:rPr>
      </w:pPr>
      <w:proofErr w:type="spellStart"/>
      <w:r>
        <w:rPr>
          <w:rFonts w:ascii="Verdana" w:hAnsi="Verdana"/>
          <w:sz w:val="20"/>
          <w:szCs w:val="20"/>
        </w:rPr>
        <w:t>Trentmann</w:t>
      </w:r>
      <w:proofErr w:type="spellEnd"/>
      <w:r>
        <w:rPr>
          <w:rFonts w:ascii="Verdana" w:hAnsi="Verdana"/>
          <w:sz w:val="20"/>
          <w:szCs w:val="20"/>
        </w:rPr>
        <w:t xml:space="preserve">, J., Müller, R.W., </w:t>
      </w:r>
      <w:proofErr w:type="spellStart"/>
      <w:r>
        <w:rPr>
          <w:rFonts w:ascii="Verdana" w:hAnsi="Verdana"/>
          <w:sz w:val="20"/>
          <w:szCs w:val="20"/>
        </w:rPr>
        <w:t>Posselt</w:t>
      </w:r>
      <w:proofErr w:type="spellEnd"/>
      <w:r>
        <w:rPr>
          <w:rFonts w:ascii="Verdana" w:hAnsi="Verdana"/>
          <w:sz w:val="20"/>
          <w:szCs w:val="20"/>
        </w:rPr>
        <w:t xml:space="preserve">, R. and </w:t>
      </w:r>
      <w:proofErr w:type="spellStart"/>
      <w:r>
        <w:rPr>
          <w:rFonts w:ascii="Verdana" w:hAnsi="Verdana"/>
          <w:sz w:val="20"/>
          <w:szCs w:val="20"/>
        </w:rPr>
        <w:t>Stõckli</w:t>
      </w:r>
      <w:proofErr w:type="spellEnd"/>
      <w:r>
        <w:rPr>
          <w:rFonts w:ascii="Verdana" w:hAnsi="Verdana"/>
          <w:sz w:val="20"/>
          <w:szCs w:val="20"/>
        </w:rPr>
        <w:t xml:space="preserve">, R. 2013, April. Satellite-based surface solar radiation data provided by CM SAF-Solar energy applications. In </w:t>
      </w:r>
      <w:r>
        <w:rPr>
          <w:rFonts w:ascii="Verdana" w:hAnsi="Verdana"/>
          <w:i/>
          <w:iCs/>
          <w:sz w:val="20"/>
          <w:szCs w:val="20"/>
        </w:rPr>
        <w:t xml:space="preserve">EGU General Assembly Conference Abstracts </w:t>
      </w:r>
      <w:r>
        <w:rPr>
          <w:rFonts w:ascii="Verdana" w:hAnsi="Verdana"/>
          <w:sz w:val="20"/>
          <w:szCs w:val="20"/>
        </w:rPr>
        <w:t>15, EGU2013-10494.         [ </w:t>
      </w:r>
      <w:hyperlink r:id="rId106" w:history="1">
        <w:r>
          <w:rPr>
            <w:rStyle w:val="Hyperlink"/>
            <w:rFonts w:ascii="Verdana" w:hAnsi="Verdana"/>
            <w:sz w:val="20"/>
            <w:szCs w:val="20"/>
          </w:rPr>
          <w:t>Links</w:t>
        </w:r>
      </w:hyperlink>
      <w:r>
        <w:rPr>
          <w:rFonts w:ascii="Verdana" w:hAnsi="Verdana"/>
          <w:sz w:val="20"/>
          <w:szCs w:val="20"/>
        </w:rPr>
        <w:t> ]</w:t>
      </w:r>
    </w:p>
    <w:p w14:paraId="5F5F7B87" w14:textId="77777777" w:rsidR="0022258D" w:rsidRDefault="0022258D" w:rsidP="0022258D">
      <w:pPr>
        <w:pStyle w:val="NormalWeb"/>
        <w:rPr>
          <w:rFonts w:ascii="Verdana" w:hAnsi="Verdana"/>
          <w:sz w:val="19"/>
          <w:szCs w:val="19"/>
        </w:rPr>
      </w:pPr>
      <w:r>
        <w:rPr>
          <w:rFonts w:ascii="Verdana" w:hAnsi="Verdana"/>
          <w:sz w:val="20"/>
          <w:szCs w:val="20"/>
        </w:rPr>
        <w:t xml:space="preserve">Wang, L., Gong, W., Lin, A. and Hu, B. 2014. Analysis of photosynthetically active radiation under various sky conditions in Wuhan, Central China. </w:t>
      </w:r>
      <w:r>
        <w:rPr>
          <w:rFonts w:ascii="Verdana" w:hAnsi="Verdana"/>
          <w:i/>
          <w:iCs/>
          <w:sz w:val="20"/>
          <w:szCs w:val="20"/>
        </w:rPr>
        <w:t xml:space="preserve">International Journal of Biometeorology </w:t>
      </w:r>
      <w:r>
        <w:rPr>
          <w:rFonts w:ascii="Verdana" w:hAnsi="Verdana"/>
          <w:sz w:val="20"/>
          <w:szCs w:val="20"/>
        </w:rPr>
        <w:t>58(8): 1711-1720.         [ </w:t>
      </w:r>
      <w:hyperlink r:id="rId107" w:history="1">
        <w:r>
          <w:rPr>
            <w:rStyle w:val="Hyperlink"/>
            <w:rFonts w:ascii="Verdana" w:hAnsi="Verdana"/>
            <w:sz w:val="20"/>
            <w:szCs w:val="20"/>
          </w:rPr>
          <w:t>Links</w:t>
        </w:r>
      </w:hyperlink>
      <w:r>
        <w:rPr>
          <w:rFonts w:ascii="Verdana" w:hAnsi="Verdana"/>
          <w:sz w:val="20"/>
          <w:szCs w:val="20"/>
        </w:rPr>
        <w:t> ]</w:t>
      </w:r>
    </w:p>
    <w:p w14:paraId="6D12CA66" w14:textId="77777777" w:rsidR="0022258D" w:rsidRDefault="0022258D" w:rsidP="0022258D">
      <w:pPr>
        <w:pStyle w:val="NormalWeb"/>
        <w:rPr>
          <w:rFonts w:ascii="Verdana" w:hAnsi="Verdana"/>
          <w:sz w:val="19"/>
          <w:szCs w:val="19"/>
        </w:rPr>
      </w:pPr>
      <w:r>
        <w:rPr>
          <w:rFonts w:ascii="Verdana" w:hAnsi="Verdana"/>
          <w:sz w:val="20"/>
          <w:szCs w:val="20"/>
        </w:rPr>
        <w:t xml:space="preserve">Wild, M. 2009. Global dimming and brightening: A review. </w:t>
      </w:r>
      <w:r>
        <w:rPr>
          <w:rFonts w:ascii="Verdana" w:hAnsi="Verdana"/>
          <w:i/>
          <w:iCs/>
          <w:sz w:val="20"/>
          <w:szCs w:val="20"/>
        </w:rPr>
        <w:t xml:space="preserve">Journal of Geophysical Research: Atmospheres </w:t>
      </w:r>
      <w:r>
        <w:rPr>
          <w:rFonts w:ascii="Verdana" w:hAnsi="Verdana"/>
          <w:sz w:val="20"/>
          <w:szCs w:val="20"/>
        </w:rPr>
        <w:t>114(D10), D00d16. Doi: 10.1029/2008jd011470.         [ </w:t>
      </w:r>
      <w:hyperlink r:id="rId108" w:history="1">
        <w:r>
          <w:rPr>
            <w:rStyle w:val="Hyperlink"/>
            <w:rFonts w:ascii="Verdana" w:hAnsi="Verdana"/>
            <w:sz w:val="20"/>
            <w:szCs w:val="20"/>
          </w:rPr>
          <w:t>Links</w:t>
        </w:r>
      </w:hyperlink>
      <w:r>
        <w:rPr>
          <w:rFonts w:ascii="Verdana" w:hAnsi="Verdana"/>
          <w:sz w:val="20"/>
          <w:szCs w:val="20"/>
        </w:rPr>
        <w:t> ]</w:t>
      </w:r>
    </w:p>
    <w:p w14:paraId="04EB9B87" w14:textId="77777777" w:rsidR="0022258D" w:rsidRDefault="0022258D" w:rsidP="0022258D">
      <w:pPr>
        <w:pStyle w:val="NormalWeb"/>
        <w:rPr>
          <w:rFonts w:ascii="Verdana" w:hAnsi="Verdana"/>
          <w:sz w:val="19"/>
          <w:szCs w:val="19"/>
        </w:rPr>
      </w:pPr>
      <w:r>
        <w:rPr>
          <w:rFonts w:ascii="Verdana" w:hAnsi="Verdana"/>
          <w:sz w:val="20"/>
          <w:szCs w:val="20"/>
        </w:rPr>
        <w:t xml:space="preserve">Wood, C.R. and Harrison, R.G. 2011. Scorch marks from the sky. </w:t>
      </w:r>
      <w:r>
        <w:rPr>
          <w:rFonts w:ascii="Verdana" w:hAnsi="Verdana"/>
          <w:i/>
          <w:iCs/>
          <w:sz w:val="20"/>
          <w:szCs w:val="20"/>
        </w:rPr>
        <w:t xml:space="preserve">Weather </w:t>
      </w:r>
      <w:r>
        <w:rPr>
          <w:rFonts w:ascii="Verdana" w:hAnsi="Verdana"/>
          <w:sz w:val="20"/>
          <w:szCs w:val="20"/>
        </w:rPr>
        <w:t>66(2): 39-41.         [ </w:t>
      </w:r>
      <w:hyperlink r:id="rId109" w:history="1">
        <w:r>
          <w:rPr>
            <w:rStyle w:val="Hyperlink"/>
            <w:rFonts w:ascii="Verdana" w:hAnsi="Verdana"/>
            <w:sz w:val="20"/>
            <w:szCs w:val="20"/>
          </w:rPr>
          <w:t>Links</w:t>
        </w:r>
      </w:hyperlink>
      <w:r>
        <w:rPr>
          <w:rFonts w:ascii="Verdana" w:hAnsi="Verdana"/>
          <w:sz w:val="20"/>
          <w:szCs w:val="20"/>
        </w:rPr>
        <w:t> ]</w:t>
      </w:r>
    </w:p>
    <w:p w14:paraId="5DBA2FE1" w14:textId="77777777" w:rsidR="0022258D" w:rsidRDefault="0022258D" w:rsidP="0022258D">
      <w:pPr>
        <w:pStyle w:val="NormalWeb"/>
        <w:rPr>
          <w:rFonts w:ascii="Verdana" w:hAnsi="Verdana"/>
          <w:sz w:val="19"/>
          <w:szCs w:val="19"/>
        </w:rPr>
      </w:pPr>
      <w:proofErr w:type="spellStart"/>
      <w:r>
        <w:rPr>
          <w:rFonts w:ascii="Verdana" w:hAnsi="Verdana"/>
          <w:sz w:val="20"/>
          <w:szCs w:val="20"/>
        </w:rPr>
        <w:t>Yaiche</w:t>
      </w:r>
      <w:proofErr w:type="spellEnd"/>
      <w:r>
        <w:rPr>
          <w:rFonts w:ascii="Verdana" w:hAnsi="Verdana"/>
          <w:sz w:val="20"/>
          <w:szCs w:val="20"/>
        </w:rPr>
        <w:t xml:space="preserve">, M.R., </w:t>
      </w:r>
      <w:proofErr w:type="spellStart"/>
      <w:r>
        <w:rPr>
          <w:rFonts w:ascii="Verdana" w:hAnsi="Verdana"/>
          <w:sz w:val="20"/>
          <w:szCs w:val="20"/>
        </w:rPr>
        <w:t>Bouhanik</w:t>
      </w:r>
      <w:proofErr w:type="spellEnd"/>
      <w:r>
        <w:rPr>
          <w:rFonts w:ascii="Verdana" w:hAnsi="Verdana"/>
          <w:sz w:val="20"/>
          <w:szCs w:val="20"/>
        </w:rPr>
        <w:t xml:space="preserve">, A., </w:t>
      </w:r>
      <w:proofErr w:type="spellStart"/>
      <w:r>
        <w:rPr>
          <w:rFonts w:ascii="Verdana" w:hAnsi="Verdana"/>
          <w:sz w:val="20"/>
          <w:szCs w:val="20"/>
        </w:rPr>
        <w:t>Bekkouche</w:t>
      </w:r>
      <w:proofErr w:type="spellEnd"/>
      <w:r>
        <w:rPr>
          <w:rFonts w:ascii="Verdana" w:hAnsi="Verdana"/>
          <w:sz w:val="20"/>
          <w:szCs w:val="20"/>
        </w:rPr>
        <w:t xml:space="preserve">, S.M.A., Malek, A. and </w:t>
      </w:r>
      <w:proofErr w:type="spellStart"/>
      <w:r>
        <w:rPr>
          <w:rFonts w:ascii="Verdana" w:hAnsi="Verdana"/>
          <w:sz w:val="20"/>
          <w:szCs w:val="20"/>
        </w:rPr>
        <w:t>Benouaz</w:t>
      </w:r>
      <w:proofErr w:type="spellEnd"/>
      <w:r>
        <w:rPr>
          <w:rFonts w:ascii="Verdana" w:hAnsi="Verdana"/>
          <w:sz w:val="20"/>
          <w:szCs w:val="20"/>
        </w:rPr>
        <w:t xml:space="preserve">, T. 2014. Revised solar maps of Algeria based on sunshine duration. </w:t>
      </w:r>
      <w:r>
        <w:rPr>
          <w:rFonts w:ascii="Verdana" w:hAnsi="Verdana"/>
          <w:i/>
          <w:iCs/>
          <w:sz w:val="20"/>
          <w:szCs w:val="20"/>
        </w:rPr>
        <w:t xml:space="preserve">Energy Conversion and Management </w:t>
      </w:r>
      <w:r>
        <w:rPr>
          <w:rFonts w:ascii="Verdana" w:hAnsi="Verdana"/>
          <w:sz w:val="20"/>
          <w:szCs w:val="20"/>
        </w:rPr>
        <w:t>82: 114-123.         [ </w:t>
      </w:r>
      <w:hyperlink r:id="rId110" w:history="1">
        <w:r>
          <w:rPr>
            <w:rStyle w:val="Hyperlink"/>
            <w:rFonts w:ascii="Verdana" w:hAnsi="Verdana"/>
            <w:sz w:val="20"/>
            <w:szCs w:val="20"/>
          </w:rPr>
          <w:t>Links</w:t>
        </w:r>
      </w:hyperlink>
      <w:r>
        <w:rPr>
          <w:rFonts w:ascii="Verdana" w:hAnsi="Verdana"/>
          <w:sz w:val="20"/>
          <w:szCs w:val="20"/>
        </w:rPr>
        <w:t> ]</w:t>
      </w:r>
    </w:p>
    <w:p w14:paraId="4ACBC086" w14:textId="69E0F417" w:rsidR="0022258D" w:rsidRDefault="0022258D" w:rsidP="0022258D">
      <w:pPr>
        <w:pStyle w:val="NormalWeb"/>
        <w:rPr>
          <w:rFonts w:ascii="Verdana" w:hAnsi="Verdana"/>
          <w:sz w:val="19"/>
          <w:szCs w:val="19"/>
        </w:rPr>
      </w:pPr>
      <w:r>
        <w:rPr>
          <w:rFonts w:ascii="Verdana" w:hAnsi="Verdana"/>
          <w:sz w:val="19"/>
          <w:szCs w:val="19"/>
        </w:rPr>
        <w:t> </w:t>
      </w:r>
    </w:p>
    <w:p w14:paraId="7600FC54" w14:textId="3BA710B2" w:rsidR="00A3096F" w:rsidRDefault="000C29B0" w:rsidP="0022258D">
      <w:pPr>
        <w:pStyle w:val="NormalWeb"/>
        <w:rPr>
          <w:rFonts w:ascii="Verdana" w:hAnsi="Verdana"/>
          <w:sz w:val="19"/>
          <w:szCs w:val="19"/>
        </w:rPr>
      </w:pPr>
      <w:hyperlink r:id="rId111" w:history="1">
        <w:r w:rsidR="007625F4" w:rsidRPr="004A3001">
          <w:rPr>
            <w:rStyle w:val="Hyperlink"/>
            <w:rFonts w:ascii="Verdana" w:hAnsi="Verdana"/>
            <w:sz w:val="19"/>
            <w:szCs w:val="19"/>
          </w:rPr>
          <w:t>https://journals.co.za/docserver/fulltext/waters/33/5/waters_v33_n5_a3.pdf?expires=1542099969&amp;id=id&amp;accname=guest&amp;checksum=73C55AD9CA33F2162C3E6D628003B4CD</w:t>
        </w:r>
      </w:hyperlink>
    </w:p>
    <w:p w14:paraId="4169B93E" w14:textId="77777777" w:rsidR="007625F4" w:rsidRDefault="007625F4" w:rsidP="0022258D">
      <w:pPr>
        <w:pStyle w:val="NormalWeb"/>
        <w:rPr>
          <w:rFonts w:ascii="Verdana" w:hAnsi="Verdana"/>
          <w:sz w:val="19"/>
          <w:szCs w:val="19"/>
        </w:rPr>
      </w:pPr>
    </w:p>
    <w:p w14:paraId="25C3106C" w14:textId="58C4CF4B" w:rsidR="00A3096F" w:rsidRDefault="00A3096F" w:rsidP="0022258D">
      <w:pPr>
        <w:pStyle w:val="NormalWeb"/>
        <w:rPr>
          <w:rFonts w:ascii="Arial-BoldMT" w:hAnsi="Arial-BoldMT" w:cs="Arial-BoldMT"/>
          <w:b/>
          <w:bCs/>
          <w:sz w:val="32"/>
          <w:szCs w:val="32"/>
        </w:rPr>
      </w:pPr>
      <w:r>
        <w:rPr>
          <w:rFonts w:ascii="Arial-BoldMT" w:hAnsi="Arial-BoldMT" w:cs="Arial-BoldMT"/>
          <w:b/>
          <w:bCs/>
          <w:sz w:val="32"/>
          <w:szCs w:val="32"/>
        </w:rPr>
        <w:t>Trends in cloud cover from 1960 to 2005 over South Africa</w:t>
      </w:r>
    </w:p>
    <w:p w14:paraId="4502605A" w14:textId="77777777" w:rsidR="007625F4" w:rsidRPr="007625F4" w:rsidRDefault="007625F4" w:rsidP="007625F4">
      <w:pPr>
        <w:autoSpaceDE w:val="0"/>
        <w:autoSpaceDN w:val="0"/>
        <w:adjustRightInd w:val="0"/>
        <w:spacing w:after="0" w:line="240" w:lineRule="auto"/>
        <w:rPr>
          <w:rFonts w:ascii="Arial-BoldMT" w:hAnsi="Arial-BoldMT" w:cs="Arial-BoldMT"/>
          <w:b/>
          <w:bCs/>
          <w:sz w:val="24"/>
          <w:szCs w:val="20"/>
        </w:rPr>
      </w:pPr>
      <w:r w:rsidRPr="007625F4">
        <w:rPr>
          <w:rFonts w:ascii="Arial-BoldMT" w:hAnsi="Arial-BoldMT" w:cs="Arial-BoldMT"/>
          <w:b/>
          <w:bCs/>
          <w:sz w:val="24"/>
          <w:szCs w:val="20"/>
        </w:rPr>
        <w:t>Abstract</w:t>
      </w:r>
    </w:p>
    <w:p w14:paraId="336FF7DD" w14:textId="4029C379" w:rsidR="007625F4" w:rsidRPr="007625F4" w:rsidRDefault="007625F4" w:rsidP="007625F4">
      <w:pPr>
        <w:autoSpaceDE w:val="0"/>
        <w:autoSpaceDN w:val="0"/>
        <w:adjustRightInd w:val="0"/>
        <w:spacing w:after="0" w:line="240" w:lineRule="auto"/>
        <w:rPr>
          <w:rFonts w:ascii="TimesNewRomanPSMT" w:hAnsi="TimesNewRomanPSMT" w:cs="TimesNewRomanPSMT"/>
          <w:sz w:val="20"/>
          <w:szCs w:val="16"/>
        </w:rPr>
      </w:pPr>
      <w:r w:rsidRPr="007625F4">
        <w:rPr>
          <w:rFonts w:ascii="TimesNewRomanPSMT" w:hAnsi="TimesNewRomanPSMT" w:cs="TimesNewRomanPSMT"/>
          <w:sz w:val="20"/>
          <w:szCs w:val="16"/>
        </w:rPr>
        <w:t>Seasonal trends in low and total cloud cover, as well as for associated climate variables diurnal temperature range (DTR) and</w:t>
      </w:r>
      <w:r w:rsidR="00DD6F54">
        <w:rPr>
          <w:rFonts w:ascii="TimesNewRomanPSMT" w:hAnsi="TimesNewRomanPSMT" w:cs="TimesNewRomanPSMT"/>
          <w:sz w:val="20"/>
          <w:szCs w:val="16"/>
        </w:rPr>
        <w:t xml:space="preserve"> </w:t>
      </w:r>
      <w:r w:rsidRPr="007625F4">
        <w:rPr>
          <w:rFonts w:ascii="TimesNewRomanPSMT" w:hAnsi="TimesNewRomanPSMT" w:cs="TimesNewRomanPSMT"/>
          <w:sz w:val="20"/>
          <w:szCs w:val="16"/>
        </w:rPr>
        <w:t>number of rain days, are investigated for South Africa. It is also investigated whether the observed trends and variability in</w:t>
      </w:r>
      <w:r w:rsidR="0029626C">
        <w:rPr>
          <w:rFonts w:ascii="TimesNewRomanPSMT" w:hAnsi="TimesNewRomanPSMT" w:cs="TimesNewRomanPSMT"/>
          <w:sz w:val="20"/>
          <w:szCs w:val="16"/>
        </w:rPr>
        <w:t xml:space="preserve"> </w:t>
      </w:r>
      <w:r w:rsidRPr="007625F4">
        <w:rPr>
          <w:rFonts w:ascii="TimesNewRomanPSMT" w:hAnsi="TimesNewRomanPSMT" w:cs="TimesNewRomanPSMT"/>
          <w:sz w:val="20"/>
          <w:szCs w:val="16"/>
        </w:rPr>
        <w:t>cloud cover could be related to the El Niño-Southern Oscillation (ENSO) phenomenon, which has a major influence on the</w:t>
      </w:r>
      <w:r w:rsidR="0029626C">
        <w:rPr>
          <w:rFonts w:ascii="TimesNewRomanPSMT" w:hAnsi="TimesNewRomanPSMT" w:cs="TimesNewRomanPSMT"/>
          <w:sz w:val="20"/>
          <w:szCs w:val="16"/>
        </w:rPr>
        <w:t xml:space="preserve"> </w:t>
      </w:r>
      <w:r w:rsidRPr="007625F4">
        <w:rPr>
          <w:rFonts w:ascii="TimesNewRomanPSMT" w:hAnsi="TimesNewRomanPSMT" w:cs="TimesNewRomanPSMT"/>
          <w:sz w:val="20"/>
          <w:szCs w:val="16"/>
        </w:rPr>
        <w:t>variability of summer rainfall in South Africa. These trends have not been investigated recently and in such detail. In the light</w:t>
      </w:r>
      <w:r w:rsidR="0029626C">
        <w:rPr>
          <w:rFonts w:ascii="TimesNewRomanPSMT" w:hAnsi="TimesNewRomanPSMT" w:cs="TimesNewRomanPSMT"/>
          <w:sz w:val="20"/>
          <w:szCs w:val="16"/>
        </w:rPr>
        <w:t xml:space="preserve"> </w:t>
      </w:r>
      <w:r w:rsidRPr="007625F4">
        <w:rPr>
          <w:rFonts w:ascii="TimesNewRomanPSMT" w:hAnsi="TimesNewRomanPSMT" w:cs="TimesNewRomanPSMT"/>
          <w:sz w:val="20"/>
          <w:szCs w:val="16"/>
        </w:rPr>
        <w:t>of the climate change debate, updated studies of historical climate change are important, especially for regions and climate</w:t>
      </w:r>
      <w:r w:rsidR="0029626C">
        <w:rPr>
          <w:rFonts w:ascii="TimesNewRomanPSMT" w:hAnsi="TimesNewRomanPSMT" w:cs="TimesNewRomanPSMT"/>
          <w:sz w:val="20"/>
          <w:szCs w:val="16"/>
        </w:rPr>
        <w:t xml:space="preserve"> </w:t>
      </w:r>
      <w:r w:rsidRPr="007625F4">
        <w:rPr>
          <w:rFonts w:ascii="TimesNewRomanPSMT" w:hAnsi="TimesNewRomanPSMT" w:cs="TimesNewRomanPSMT"/>
          <w:sz w:val="20"/>
          <w:szCs w:val="16"/>
        </w:rPr>
        <w:t>variables of which such studies are not published often. Seasonal trends of daily means were examined from quality-controlled</w:t>
      </w:r>
      <w:r w:rsidR="0029626C">
        <w:rPr>
          <w:rFonts w:ascii="TimesNewRomanPSMT" w:hAnsi="TimesNewRomanPSMT" w:cs="TimesNewRomanPSMT"/>
          <w:sz w:val="20"/>
          <w:szCs w:val="16"/>
        </w:rPr>
        <w:t xml:space="preserve"> </w:t>
      </w:r>
      <w:r w:rsidRPr="007625F4">
        <w:rPr>
          <w:rFonts w:ascii="TimesNewRomanPSMT" w:hAnsi="TimesNewRomanPSMT" w:cs="TimesNewRomanPSMT"/>
          <w:sz w:val="20"/>
          <w:szCs w:val="16"/>
        </w:rPr>
        <w:t>data time series of 28 climate stations over South Africa, for the period 1960 to 2005. Regional trends could be determined</w:t>
      </w:r>
      <w:r w:rsidR="0029626C">
        <w:rPr>
          <w:rFonts w:ascii="TimesNewRomanPSMT" w:hAnsi="TimesNewRomanPSMT" w:cs="TimesNewRomanPSMT"/>
          <w:sz w:val="20"/>
          <w:szCs w:val="16"/>
        </w:rPr>
        <w:t xml:space="preserve"> </w:t>
      </w:r>
      <w:r w:rsidRPr="007625F4">
        <w:rPr>
          <w:rFonts w:ascii="TimesNewRomanPSMT" w:hAnsi="TimesNewRomanPSMT" w:cs="TimesNewRomanPSMT"/>
          <w:sz w:val="20"/>
          <w:szCs w:val="16"/>
        </w:rPr>
        <w:t>by averaging series of stations showing similar trends, within areas delineated in such a way that the trend of the averaged</w:t>
      </w:r>
      <w:r w:rsidR="005B2394">
        <w:rPr>
          <w:rFonts w:ascii="TimesNewRomanPSMT" w:hAnsi="TimesNewRomanPSMT" w:cs="TimesNewRomanPSMT"/>
          <w:sz w:val="20"/>
          <w:szCs w:val="16"/>
        </w:rPr>
        <w:t xml:space="preserve"> </w:t>
      </w:r>
      <w:r w:rsidRPr="007625F4">
        <w:rPr>
          <w:rFonts w:ascii="TimesNewRomanPSMT" w:hAnsi="TimesNewRomanPSMT" w:cs="TimesNewRomanPSMT"/>
          <w:sz w:val="20"/>
          <w:szCs w:val="16"/>
        </w:rPr>
        <w:t>series would be statistically significant. In this way the intra-seasonal spatial variability of same trend regions, as well as</w:t>
      </w:r>
      <w:r w:rsidR="005B2394">
        <w:rPr>
          <w:rFonts w:ascii="TimesNewRomanPSMT" w:hAnsi="TimesNewRomanPSMT" w:cs="TimesNewRomanPSMT"/>
          <w:sz w:val="20"/>
          <w:szCs w:val="16"/>
        </w:rPr>
        <w:t xml:space="preserve"> </w:t>
      </w:r>
      <w:r w:rsidRPr="007625F4">
        <w:rPr>
          <w:rFonts w:ascii="TimesNewRomanPSMT" w:hAnsi="TimesNewRomanPSMT" w:cs="TimesNewRomanPSMT"/>
          <w:sz w:val="20"/>
          <w:szCs w:val="16"/>
        </w:rPr>
        <w:t>the spatial relationships between trends of the different climate variables under discussion, could be established. The main</w:t>
      </w:r>
      <w:r w:rsidR="005B2394">
        <w:rPr>
          <w:rFonts w:ascii="TimesNewRomanPSMT" w:hAnsi="TimesNewRomanPSMT" w:cs="TimesNewRomanPSMT"/>
          <w:sz w:val="20"/>
          <w:szCs w:val="16"/>
        </w:rPr>
        <w:t xml:space="preserve"> </w:t>
      </w:r>
      <w:r w:rsidRPr="007625F4">
        <w:rPr>
          <w:rFonts w:ascii="TimesNewRomanPSMT" w:hAnsi="TimesNewRomanPSMT" w:cs="TimesNewRomanPSMT"/>
          <w:sz w:val="20"/>
          <w:szCs w:val="16"/>
        </w:rPr>
        <w:t xml:space="preserve">results, taking all seasons into account, </w:t>
      </w:r>
      <w:r w:rsidRPr="00E91FA1">
        <w:rPr>
          <w:rFonts w:ascii="TimesNewRomanPSMT" w:hAnsi="TimesNewRomanPSMT" w:cs="TimesNewRomanPSMT"/>
          <w:sz w:val="20"/>
          <w:szCs w:val="16"/>
          <w:highlight w:val="yellow"/>
        </w:rPr>
        <w:t>is a general decrease in mean daily low cloud cover</w:t>
      </w:r>
      <w:r w:rsidRPr="007625F4">
        <w:rPr>
          <w:rFonts w:ascii="TimesNewRomanPSMT" w:hAnsi="TimesNewRomanPSMT" w:cs="TimesNewRomanPSMT"/>
          <w:sz w:val="20"/>
          <w:szCs w:val="16"/>
        </w:rPr>
        <w:t xml:space="preserve">, and to a </w:t>
      </w:r>
      <w:r w:rsidRPr="00E91FA1">
        <w:rPr>
          <w:rFonts w:ascii="TimesNewRomanPSMT" w:hAnsi="TimesNewRomanPSMT" w:cs="TimesNewRomanPSMT"/>
          <w:sz w:val="20"/>
          <w:szCs w:val="16"/>
          <w:highlight w:val="yellow"/>
        </w:rPr>
        <w:t>lesser extent total cloud</w:t>
      </w:r>
      <w:r w:rsidR="005B2394" w:rsidRPr="00E91FA1">
        <w:rPr>
          <w:rFonts w:ascii="TimesNewRomanPSMT" w:hAnsi="TimesNewRomanPSMT" w:cs="TimesNewRomanPSMT"/>
          <w:sz w:val="20"/>
          <w:szCs w:val="16"/>
          <w:highlight w:val="yellow"/>
        </w:rPr>
        <w:t xml:space="preserve"> </w:t>
      </w:r>
      <w:r w:rsidRPr="00E91FA1">
        <w:rPr>
          <w:rFonts w:ascii="TimesNewRomanPSMT" w:hAnsi="TimesNewRomanPSMT" w:cs="TimesNewRomanPSMT"/>
          <w:sz w:val="20"/>
          <w:szCs w:val="16"/>
          <w:highlight w:val="yellow"/>
        </w:rPr>
        <w:t>cover</w:t>
      </w:r>
      <w:r w:rsidRPr="007625F4">
        <w:rPr>
          <w:rFonts w:ascii="TimesNewRomanPSMT" w:hAnsi="TimesNewRomanPSMT" w:cs="TimesNewRomanPSMT"/>
          <w:sz w:val="20"/>
          <w:szCs w:val="16"/>
        </w:rPr>
        <w:t>, over most of South Africa, but an increase in the south and south-west of the country. However, the sizes of same trend</w:t>
      </w:r>
    </w:p>
    <w:p w14:paraId="69849AD8" w14:textId="77777777" w:rsidR="007625F4" w:rsidRPr="007625F4" w:rsidRDefault="007625F4" w:rsidP="007625F4">
      <w:pPr>
        <w:autoSpaceDE w:val="0"/>
        <w:autoSpaceDN w:val="0"/>
        <w:adjustRightInd w:val="0"/>
        <w:spacing w:after="0" w:line="240" w:lineRule="auto"/>
        <w:rPr>
          <w:rFonts w:ascii="TimesNewRomanPSMT" w:hAnsi="TimesNewRomanPSMT" w:cs="TimesNewRomanPSMT"/>
          <w:sz w:val="20"/>
          <w:szCs w:val="16"/>
        </w:rPr>
      </w:pPr>
      <w:r w:rsidRPr="007625F4">
        <w:rPr>
          <w:rFonts w:ascii="TimesNewRomanPSMT" w:hAnsi="TimesNewRomanPSMT" w:cs="TimesNewRomanPSMT"/>
          <w:sz w:val="20"/>
          <w:szCs w:val="16"/>
        </w:rPr>
        <w:lastRenderedPageBreak/>
        <w:t>regions show considerable variability between seasons. While trends in DTR and rain days are the opposite and the same,</w:t>
      </w:r>
    </w:p>
    <w:p w14:paraId="1F354E33" w14:textId="77777777" w:rsidR="007625F4" w:rsidRPr="007625F4" w:rsidRDefault="007625F4" w:rsidP="007625F4">
      <w:pPr>
        <w:autoSpaceDE w:val="0"/>
        <w:autoSpaceDN w:val="0"/>
        <w:adjustRightInd w:val="0"/>
        <w:spacing w:after="0" w:line="240" w:lineRule="auto"/>
        <w:rPr>
          <w:rFonts w:ascii="TimesNewRomanPSMT" w:hAnsi="TimesNewRomanPSMT" w:cs="TimesNewRomanPSMT"/>
          <w:sz w:val="20"/>
          <w:szCs w:val="16"/>
        </w:rPr>
      </w:pPr>
      <w:r w:rsidRPr="007625F4">
        <w:rPr>
          <w:rFonts w:ascii="TimesNewRomanPSMT" w:hAnsi="TimesNewRomanPSMT" w:cs="TimesNewRomanPSMT"/>
          <w:sz w:val="20"/>
          <w:szCs w:val="16"/>
        </w:rPr>
        <w:t>respectively, of trends in cloud cover in most cases, it is shown that this is not always the case. A region covering the northern,</w:t>
      </w:r>
    </w:p>
    <w:p w14:paraId="5B05CC6C" w14:textId="77777777" w:rsidR="007625F4" w:rsidRPr="007625F4" w:rsidRDefault="007625F4" w:rsidP="007625F4">
      <w:pPr>
        <w:autoSpaceDE w:val="0"/>
        <w:autoSpaceDN w:val="0"/>
        <w:adjustRightInd w:val="0"/>
        <w:spacing w:after="0" w:line="240" w:lineRule="auto"/>
        <w:rPr>
          <w:rFonts w:ascii="TimesNewRomanPSMT" w:hAnsi="TimesNewRomanPSMT" w:cs="TimesNewRomanPSMT"/>
          <w:sz w:val="20"/>
          <w:szCs w:val="16"/>
        </w:rPr>
      </w:pPr>
      <w:r w:rsidRPr="007625F4">
        <w:rPr>
          <w:rFonts w:ascii="TimesNewRomanPSMT" w:hAnsi="TimesNewRomanPSMT" w:cs="TimesNewRomanPSMT"/>
          <w:sz w:val="20"/>
          <w:szCs w:val="16"/>
        </w:rPr>
        <w:t>central and western interior of South Africa, with late-summer (JFM) cloud cover negatively correlated with equatorial</w:t>
      </w:r>
    </w:p>
    <w:p w14:paraId="08803988" w14:textId="77777777" w:rsidR="007625F4" w:rsidRPr="007625F4" w:rsidRDefault="007625F4" w:rsidP="007625F4">
      <w:pPr>
        <w:autoSpaceDE w:val="0"/>
        <w:autoSpaceDN w:val="0"/>
        <w:adjustRightInd w:val="0"/>
        <w:spacing w:after="0" w:line="240" w:lineRule="auto"/>
        <w:rPr>
          <w:rFonts w:ascii="TimesNewRomanPSMT" w:hAnsi="TimesNewRomanPSMT" w:cs="TimesNewRomanPSMT"/>
          <w:sz w:val="20"/>
          <w:szCs w:val="16"/>
        </w:rPr>
      </w:pPr>
      <w:r w:rsidRPr="007625F4">
        <w:rPr>
          <w:rFonts w:ascii="TimesNewRomanPSMT" w:hAnsi="TimesNewRomanPSMT" w:cs="TimesNewRomanPSMT"/>
          <w:sz w:val="20"/>
          <w:szCs w:val="16"/>
        </w:rPr>
        <w:t>Pacific sea-surface temperatures (SSTs), shows only a non-significant decrease in total and low cloud cover for JFM, which</w:t>
      </w:r>
    </w:p>
    <w:p w14:paraId="3A2BD845" w14:textId="77777777" w:rsidR="007625F4" w:rsidRPr="007625F4" w:rsidRDefault="007625F4" w:rsidP="007625F4">
      <w:pPr>
        <w:autoSpaceDE w:val="0"/>
        <w:autoSpaceDN w:val="0"/>
        <w:adjustRightInd w:val="0"/>
        <w:spacing w:after="0" w:line="240" w:lineRule="auto"/>
        <w:rPr>
          <w:rFonts w:ascii="TimesNewRomanPSMT" w:hAnsi="TimesNewRomanPSMT" w:cs="TimesNewRomanPSMT"/>
          <w:sz w:val="20"/>
          <w:szCs w:val="16"/>
        </w:rPr>
      </w:pPr>
      <w:r w:rsidRPr="007625F4">
        <w:rPr>
          <w:rFonts w:ascii="TimesNewRomanPSMT" w:hAnsi="TimesNewRomanPSMT" w:cs="TimesNewRomanPSMT"/>
          <w:sz w:val="20"/>
          <w:szCs w:val="16"/>
        </w:rPr>
        <w:t>corresponds to a non-significant increase in equatorial Pacific SSTs during the same period.</w:t>
      </w:r>
    </w:p>
    <w:p w14:paraId="11516224" w14:textId="3F149BF1" w:rsidR="00A3096F" w:rsidRPr="007625F4" w:rsidRDefault="007625F4" w:rsidP="007625F4">
      <w:pPr>
        <w:pStyle w:val="NormalWeb"/>
        <w:rPr>
          <w:rFonts w:ascii="Verdana" w:hAnsi="Verdana"/>
          <w:sz w:val="22"/>
          <w:szCs w:val="19"/>
        </w:rPr>
      </w:pPr>
      <w:r w:rsidRPr="007625F4">
        <w:rPr>
          <w:rFonts w:ascii="TimesNewRomanPS-BoldMT" w:hAnsi="TimesNewRomanPS-BoldMT" w:cs="TimesNewRomanPS-BoldMT"/>
          <w:b/>
          <w:bCs/>
          <w:sz w:val="22"/>
          <w:szCs w:val="18"/>
        </w:rPr>
        <w:t>Keywords</w:t>
      </w:r>
      <w:r w:rsidRPr="007625F4">
        <w:rPr>
          <w:rFonts w:ascii="TimesNewRomanPSMT" w:hAnsi="TimesNewRomanPSMT" w:cs="TimesNewRomanPSMT"/>
          <w:sz w:val="22"/>
          <w:szCs w:val="18"/>
        </w:rPr>
        <w:t>: cloud cover, climate change, trends, diurnal temperature range, rainfall</w:t>
      </w:r>
    </w:p>
    <w:p w14:paraId="28F6AB17" w14:textId="231E1C85" w:rsidR="00AF61ED" w:rsidRDefault="0022258D" w:rsidP="007C633A">
      <w:pPr>
        <w:pStyle w:val="NormalWeb"/>
        <w:rPr>
          <w:rFonts w:ascii="Arial" w:hAnsi="Arial" w:cs="Arial"/>
          <w:sz w:val="20"/>
          <w:szCs w:val="20"/>
          <w:lang w:val="en"/>
        </w:rPr>
      </w:pPr>
      <w:r>
        <w:rPr>
          <w:rFonts w:ascii="Verdana" w:hAnsi="Verdana"/>
          <w:sz w:val="19"/>
          <w:szCs w:val="19"/>
        </w:rPr>
        <w:t> </w:t>
      </w:r>
    </w:p>
    <w:p w14:paraId="24747315" w14:textId="25981D33" w:rsidR="004A6903" w:rsidRDefault="00F76508" w:rsidP="00FD025A">
      <w:pPr>
        <w:spacing w:before="100" w:beforeAutospacing="1" w:after="100" w:afterAutospacing="1" w:line="240" w:lineRule="auto"/>
        <w:rPr>
          <w:rFonts w:ascii="Arial" w:eastAsia="Times New Roman" w:hAnsi="Arial" w:cs="Arial"/>
          <w:sz w:val="20"/>
          <w:szCs w:val="20"/>
          <w:lang w:val="en" w:eastAsia="en-ZA"/>
        </w:rPr>
      </w:pPr>
      <w:r w:rsidRPr="00F76508">
        <w:rPr>
          <w:rFonts w:ascii="Arial" w:eastAsia="Times New Roman" w:hAnsi="Arial" w:cs="Arial"/>
          <w:sz w:val="20"/>
          <w:szCs w:val="20"/>
          <w:lang w:val="en" w:eastAsia="en-ZA"/>
        </w:rPr>
        <w:t>https://link.springer.com/article/10.1007/s00382-018-4143-1</w:t>
      </w:r>
    </w:p>
    <w:p w14:paraId="678622B2" w14:textId="4782F44D" w:rsidR="009E7E43" w:rsidRDefault="00F478BD" w:rsidP="00FD025A">
      <w:pPr>
        <w:spacing w:before="100" w:beforeAutospacing="1" w:after="100" w:afterAutospacing="1" w:line="240" w:lineRule="auto"/>
        <w:rPr>
          <w:rFonts w:ascii="Arial" w:eastAsia="Times New Roman" w:hAnsi="Arial" w:cs="Arial"/>
          <w:sz w:val="20"/>
          <w:szCs w:val="20"/>
          <w:lang w:val="en" w:eastAsia="en-ZA"/>
        </w:rPr>
      </w:pPr>
      <w:r>
        <w:rPr>
          <w:rFonts w:ascii="Georgia" w:hAnsi="Georgia"/>
          <w:lang w:val="en"/>
        </w:rPr>
        <w:t>Numerical simulation of surface solar radiation over Southern Africa. Part 1: Evaluation of regional and global climate models</w:t>
      </w:r>
    </w:p>
    <w:p w14:paraId="33BB76E5" w14:textId="77777777" w:rsidR="004A6903" w:rsidRDefault="004A6903" w:rsidP="004A6903">
      <w:pPr>
        <w:pStyle w:val="Heading2"/>
        <w:shd w:val="clear" w:color="auto" w:fill="FFFFFF"/>
        <w:rPr>
          <w:rFonts w:ascii="Georgia" w:hAnsi="Georgia"/>
          <w:lang w:val="en-GB"/>
        </w:rPr>
      </w:pPr>
      <w:r>
        <w:rPr>
          <w:rFonts w:ascii="Georgia" w:hAnsi="Georgia"/>
          <w:lang w:val="en-GB"/>
        </w:rPr>
        <w:t>Abstract</w:t>
      </w:r>
    </w:p>
    <w:p w14:paraId="45B540C0" w14:textId="77777777" w:rsidR="002B4362" w:rsidRDefault="004A6903" w:rsidP="004A6903">
      <w:pPr>
        <w:pStyle w:val="para1"/>
        <w:shd w:val="clear" w:color="auto" w:fill="FFFFFF"/>
        <w:rPr>
          <w:rFonts w:ascii="Georgia" w:hAnsi="Georgia"/>
          <w:spacing w:val="1"/>
          <w:lang w:val="en-GB"/>
        </w:rPr>
      </w:pPr>
      <w:r>
        <w:rPr>
          <w:rFonts w:ascii="Georgia" w:hAnsi="Georgia"/>
          <w:spacing w:val="1"/>
          <w:lang w:val="en-GB"/>
        </w:rPr>
        <w:t xml:space="preserve">This study evaluates the performance of climate models in reproducing surface solar radiation (SSR) over Southern Africa (SA) by validating five Regional Climate Models (RCM, including CCLM4, HIRHAM5, RACMO22T, RCA4 and REMO2009) that participated in the Coordinated Regional Downscaling Experiment program over Africa (CORDEX-Africa) along with their ten driving General Circulation Models (GCMs) from the Coupled Model </w:t>
      </w:r>
      <w:proofErr w:type="spellStart"/>
      <w:r>
        <w:rPr>
          <w:rFonts w:ascii="Georgia" w:hAnsi="Georgia"/>
          <w:spacing w:val="1"/>
          <w:lang w:val="en-GB"/>
        </w:rPr>
        <w:t>Intercomparison</w:t>
      </w:r>
      <w:proofErr w:type="spellEnd"/>
      <w:r>
        <w:rPr>
          <w:rFonts w:ascii="Georgia" w:hAnsi="Georgia"/>
          <w:spacing w:val="1"/>
          <w:lang w:val="en-GB"/>
        </w:rPr>
        <w:t xml:space="preserve"> Project Phase 5 over SA. The model simulated SSR was thereby compared to reference data from ground-based measurements, satellite-derived products and reanalyses over the period </w:t>
      </w:r>
      <w:r w:rsidRPr="00F76508">
        <w:rPr>
          <w:rFonts w:ascii="Georgia" w:hAnsi="Georgia"/>
          <w:spacing w:val="1"/>
          <w:highlight w:val="yellow"/>
          <w:lang w:val="en-GB"/>
        </w:rPr>
        <w:t>1990–2005</w:t>
      </w:r>
      <w:r>
        <w:rPr>
          <w:rFonts w:ascii="Georgia" w:hAnsi="Georgia"/>
          <w:spacing w:val="1"/>
          <w:lang w:val="en-GB"/>
        </w:rPr>
        <w:t xml:space="preserve">. </w:t>
      </w:r>
    </w:p>
    <w:p w14:paraId="73E6E474" w14:textId="77777777" w:rsidR="002B4362" w:rsidRDefault="004A6903" w:rsidP="004A6903">
      <w:pPr>
        <w:pStyle w:val="para1"/>
        <w:shd w:val="clear" w:color="auto" w:fill="FFFFFF"/>
        <w:rPr>
          <w:rFonts w:ascii="Georgia" w:hAnsi="Georgia"/>
          <w:spacing w:val="1"/>
          <w:lang w:val="en-GB"/>
        </w:rPr>
      </w:pPr>
      <w:r>
        <w:rPr>
          <w:rFonts w:ascii="Georgia" w:hAnsi="Georgia"/>
          <w:spacing w:val="1"/>
          <w:lang w:val="en-GB"/>
        </w:rPr>
        <w:t xml:space="preserve">Results show that </w:t>
      </w:r>
    </w:p>
    <w:p w14:paraId="0932EC65" w14:textId="77777777" w:rsidR="002B4362" w:rsidRDefault="004A6903" w:rsidP="004A6903">
      <w:pPr>
        <w:pStyle w:val="para1"/>
        <w:shd w:val="clear" w:color="auto" w:fill="FFFFFF"/>
        <w:rPr>
          <w:rFonts w:ascii="Georgia" w:hAnsi="Georgia"/>
          <w:spacing w:val="1"/>
          <w:lang w:val="en-GB"/>
        </w:rPr>
      </w:pPr>
      <w:r>
        <w:rPr>
          <w:rFonts w:ascii="Georgia" w:hAnsi="Georgia"/>
          <w:spacing w:val="1"/>
          <w:lang w:val="en-GB"/>
        </w:rPr>
        <w:t xml:space="preserve">(1) the references obtained from satellite retrievals and reanalyses overall </w:t>
      </w:r>
      <w:r w:rsidRPr="00F76508">
        <w:rPr>
          <w:rFonts w:ascii="Georgia" w:hAnsi="Georgia"/>
          <w:spacing w:val="1"/>
          <w:highlight w:val="yellow"/>
          <w:lang w:val="en-GB"/>
        </w:rPr>
        <w:t>overestimate SSR by up to 10 W/m</w:t>
      </w:r>
      <w:r w:rsidRPr="00F76508">
        <w:rPr>
          <w:rFonts w:ascii="Georgia" w:hAnsi="Georgia"/>
          <w:spacing w:val="1"/>
          <w:highlight w:val="yellow"/>
          <w:vertAlign w:val="superscript"/>
          <w:lang w:val="en-GB"/>
        </w:rPr>
        <w:t>2</w:t>
      </w:r>
      <w:r>
        <w:rPr>
          <w:rFonts w:ascii="Georgia" w:hAnsi="Georgia"/>
          <w:spacing w:val="1"/>
          <w:lang w:val="en-GB"/>
        </w:rPr>
        <w:t xml:space="preserve"> on average when compared to ground-based measurements from the Global Energy Balance Archive, which are located mainly over the eastern part of the southern African continent. </w:t>
      </w:r>
    </w:p>
    <w:p w14:paraId="7970A135" w14:textId="77777777" w:rsidR="002B4362" w:rsidRDefault="002B4362" w:rsidP="004A6903">
      <w:pPr>
        <w:pStyle w:val="para1"/>
        <w:shd w:val="clear" w:color="auto" w:fill="FFFFFF"/>
        <w:rPr>
          <w:rFonts w:ascii="Georgia" w:hAnsi="Georgia"/>
          <w:spacing w:val="1"/>
          <w:lang w:val="en-GB"/>
        </w:rPr>
      </w:pPr>
    </w:p>
    <w:p w14:paraId="4E37203F" w14:textId="77777777" w:rsidR="00897C7B" w:rsidRDefault="004A6903" w:rsidP="004A6903">
      <w:pPr>
        <w:pStyle w:val="para1"/>
        <w:shd w:val="clear" w:color="auto" w:fill="FFFFFF"/>
        <w:rPr>
          <w:rFonts w:ascii="Georgia" w:hAnsi="Georgia"/>
          <w:spacing w:val="1"/>
          <w:lang w:val="en-GB"/>
        </w:rPr>
      </w:pPr>
      <w:r>
        <w:rPr>
          <w:rFonts w:ascii="Georgia" w:hAnsi="Georgia"/>
          <w:spacing w:val="1"/>
          <w:lang w:val="en-GB"/>
        </w:rPr>
        <w:t>(2) Compared to one of the satellite products (Surface Solar Radiation Data Set—</w:t>
      </w:r>
      <w:proofErr w:type="spellStart"/>
      <w:r>
        <w:rPr>
          <w:rFonts w:ascii="Georgia" w:hAnsi="Georgia"/>
          <w:spacing w:val="1"/>
          <w:lang w:val="en-GB"/>
        </w:rPr>
        <w:t>Heliosat</w:t>
      </w:r>
      <w:proofErr w:type="spellEnd"/>
      <w:r>
        <w:rPr>
          <w:rFonts w:ascii="Georgia" w:hAnsi="Georgia"/>
          <w:spacing w:val="1"/>
          <w:lang w:val="en-GB"/>
        </w:rPr>
        <w:t xml:space="preserve"> Edition 2; SARAH-2): </w:t>
      </w:r>
      <w:r w:rsidRPr="000F6E33">
        <w:rPr>
          <w:rFonts w:ascii="Georgia" w:hAnsi="Georgia"/>
          <w:spacing w:val="1"/>
          <w:highlight w:val="yellow"/>
          <w:lang w:val="en-GB"/>
        </w:rPr>
        <w:t>GCMs overestimate SSR over SA in terms of their multi-model mean by about 1 W/m</w:t>
      </w:r>
      <w:r>
        <w:rPr>
          <w:rFonts w:ascii="Georgia" w:hAnsi="Georgia"/>
          <w:spacing w:val="1"/>
          <w:vertAlign w:val="superscript"/>
          <w:lang w:val="en-GB"/>
        </w:rPr>
        <w:t>2</w:t>
      </w:r>
      <w:r>
        <w:rPr>
          <w:rFonts w:ascii="Georgia" w:hAnsi="Georgia"/>
          <w:spacing w:val="1"/>
          <w:lang w:val="en-GB"/>
        </w:rPr>
        <w:t xml:space="preserve"> (compensation of opposite biases over sub-regions) and 7.5 W/m</w:t>
      </w:r>
      <w:r>
        <w:rPr>
          <w:rFonts w:ascii="Georgia" w:hAnsi="Georgia"/>
          <w:spacing w:val="1"/>
          <w:vertAlign w:val="superscript"/>
          <w:lang w:val="en-GB"/>
        </w:rPr>
        <w:t>2</w:t>
      </w:r>
      <w:r>
        <w:rPr>
          <w:rFonts w:ascii="Georgia" w:hAnsi="Georgia"/>
          <w:spacing w:val="1"/>
          <w:lang w:val="en-GB"/>
        </w:rPr>
        <w:t xml:space="preserve"> in austral summer and winter respectively; RCMs driven by GCMs show in their </w:t>
      </w:r>
      <w:proofErr w:type="spellStart"/>
      <w:r>
        <w:rPr>
          <w:rFonts w:ascii="Georgia" w:hAnsi="Georgia"/>
          <w:spacing w:val="1"/>
          <w:lang w:val="en-GB"/>
        </w:rPr>
        <w:t>multimodel</w:t>
      </w:r>
      <w:proofErr w:type="spellEnd"/>
      <w:r>
        <w:rPr>
          <w:rFonts w:ascii="Georgia" w:hAnsi="Georgia"/>
          <w:spacing w:val="1"/>
          <w:lang w:val="en-GB"/>
        </w:rPr>
        <w:t xml:space="preserve"> mean underestimations of SSR in both seasons with Mean Bias Errors (MBEs) of about −</w:t>
      </w:r>
      <w:r>
        <w:rPr>
          <w:spacing w:val="1"/>
          <w:lang w:val="en-GB"/>
        </w:rPr>
        <w:t> </w:t>
      </w:r>
      <w:r>
        <w:rPr>
          <w:rFonts w:ascii="Georgia" w:hAnsi="Georgia"/>
          <w:spacing w:val="1"/>
          <w:lang w:val="en-GB"/>
        </w:rPr>
        <w:t>30</w:t>
      </w:r>
      <w:r>
        <w:rPr>
          <w:rFonts w:ascii="Georgia" w:hAnsi="Georgia" w:cs="Georgia"/>
          <w:spacing w:val="1"/>
          <w:lang w:val="en-GB"/>
        </w:rPr>
        <w:t> </w:t>
      </w:r>
      <w:r>
        <w:rPr>
          <w:rFonts w:ascii="Georgia" w:hAnsi="Georgia"/>
          <w:spacing w:val="1"/>
          <w:lang w:val="en-GB"/>
        </w:rPr>
        <w:t>W/m</w:t>
      </w:r>
      <w:r>
        <w:rPr>
          <w:rFonts w:ascii="Georgia" w:hAnsi="Georgia"/>
          <w:spacing w:val="1"/>
          <w:vertAlign w:val="superscript"/>
          <w:lang w:val="en-GB"/>
        </w:rPr>
        <w:t>2</w:t>
      </w:r>
      <w:r>
        <w:rPr>
          <w:rFonts w:ascii="Georgia" w:hAnsi="Georgia"/>
          <w:spacing w:val="1"/>
          <w:lang w:val="en-GB"/>
        </w:rPr>
        <w:t xml:space="preserve"> in austral summer and about −</w:t>
      </w:r>
      <w:r>
        <w:rPr>
          <w:spacing w:val="1"/>
          <w:lang w:val="en-GB"/>
        </w:rPr>
        <w:t> </w:t>
      </w:r>
      <w:r>
        <w:rPr>
          <w:rFonts w:ascii="Georgia" w:hAnsi="Georgia"/>
          <w:spacing w:val="1"/>
          <w:lang w:val="en-GB"/>
        </w:rPr>
        <w:t>14</w:t>
      </w:r>
      <w:r>
        <w:rPr>
          <w:rFonts w:ascii="Georgia" w:hAnsi="Georgia" w:cs="Georgia"/>
          <w:spacing w:val="1"/>
          <w:lang w:val="en-GB"/>
        </w:rPr>
        <w:t> </w:t>
      </w:r>
      <w:r>
        <w:rPr>
          <w:rFonts w:ascii="Georgia" w:hAnsi="Georgia"/>
          <w:spacing w:val="1"/>
          <w:lang w:val="en-GB"/>
        </w:rPr>
        <w:t>W/m</w:t>
      </w:r>
      <w:r>
        <w:rPr>
          <w:rFonts w:ascii="Georgia" w:hAnsi="Georgia"/>
          <w:spacing w:val="1"/>
          <w:vertAlign w:val="superscript"/>
          <w:lang w:val="en-GB"/>
        </w:rPr>
        <w:t>2</w:t>
      </w:r>
      <w:r>
        <w:rPr>
          <w:rFonts w:ascii="Georgia" w:hAnsi="Georgia"/>
          <w:spacing w:val="1"/>
          <w:lang w:val="en-GB"/>
        </w:rPr>
        <w:t xml:space="preserve"> in winter compared to SARAH-2. This multi-model mean low bias is </w:t>
      </w:r>
      <w:r>
        <w:rPr>
          <w:rFonts w:ascii="Georgia" w:hAnsi="Georgia"/>
          <w:spacing w:val="1"/>
          <w:lang w:val="en-GB"/>
        </w:rPr>
        <w:lastRenderedPageBreak/>
        <w:t>dominated by the simulations of the CCLM4, with negative biases up to −</w:t>
      </w:r>
      <w:r>
        <w:rPr>
          <w:spacing w:val="1"/>
          <w:lang w:val="en-GB"/>
        </w:rPr>
        <w:t> </w:t>
      </w:r>
      <w:r>
        <w:rPr>
          <w:rFonts w:ascii="Georgia" w:hAnsi="Georgia"/>
          <w:spacing w:val="1"/>
          <w:lang w:val="en-GB"/>
        </w:rPr>
        <w:t>76</w:t>
      </w:r>
      <w:r>
        <w:rPr>
          <w:rFonts w:ascii="Georgia" w:hAnsi="Georgia" w:cs="Georgia"/>
          <w:spacing w:val="1"/>
          <w:lang w:val="en-GB"/>
        </w:rPr>
        <w:t> </w:t>
      </w:r>
      <w:r>
        <w:rPr>
          <w:rFonts w:ascii="Georgia" w:hAnsi="Georgia"/>
          <w:spacing w:val="1"/>
          <w:lang w:val="en-GB"/>
        </w:rPr>
        <w:t>W/m</w:t>
      </w:r>
      <w:r>
        <w:rPr>
          <w:rFonts w:ascii="Georgia" w:hAnsi="Georgia"/>
          <w:spacing w:val="1"/>
          <w:vertAlign w:val="superscript"/>
          <w:lang w:val="en-GB"/>
        </w:rPr>
        <w:t>2</w:t>
      </w:r>
      <w:r>
        <w:rPr>
          <w:rFonts w:ascii="Georgia" w:hAnsi="Georgia"/>
          <w:spacing w:val="1"/>
          <w:lang w:val="en-GB"/>
        </w:rPr>
        <w:t xml:space="preserve"> in summer and −</w:t>
      </w:r>
      <w:r>
        <w:rPr>
          <w:spacing w:val="1"/>
          <w:lang w:val="en-GB"/>
        </w:rPr>
        <w:t> </w:t>
      </w:r>
      <w:r>
        <w:rPr>
          <w:rFonts w:ascii="Georgia" w:hAnsi="Georgia"/>
          <w:spacing w:val="1"/>
          <w:lang w:val="en-GB"/>
        </w:rPr>
        <w:t>32</w:t>
      </w:r>
      <w:r>
        <w:rPr>
          <w:rFonts w:ascii="Georgia" w:hAnsi="Georgia" w:cs="Georgia"/>
          <w:spacing w:val="1"/>
          <w:lang w:val="en-GB"/>
        </w:rPr>
        <w:t> </w:t>
      </w:r>
      <w:r>
        <w:rPr>
          <w:rFonts w:ascii="Georgia" w:hAnsi="Georgia"/>
          <w:spacing w:val="1"/>
          <w:lang w:val="en-GB"/>
        </w:rPr>
        <w:t>W/m</w:t>
      </w:r>
      <w:r>
        <w:rPr>
          <w:rFonts w:ascii="Georgia" w:hAnsi="Georgia"/>
          <w:spacing w:val="1"/>
          <w:vertAlign w:val="superscript"/>
          <w:lang w:val="en-GB"/>
        </w:rPr>
        <w:t>2</w:t>
      </w:r>
      <w:r>
        <w:rPr>
          <w:rFonts w:ascii="Georgia" w:hAnsi="Georgia"/>
          <w:spacing w:val="1"/>
          <w:lang w:val="en-GB"/>
        </w:rPr>
        <w:t xml:space="preserve"> in winter. </w:t>
      </w:r>
    </w:p>
    <w:p w14:paraId="1F61B0AA" w14:textId="77777777" w:rsidR="00897C7B" w:rsidRDefault="004A6903" w:rsidP="004A6903">
      <w:pPr>
        <w:pStyle w:val="para1"/>
        <w:shd w:val="clear" w:color="auto" w:fill="FFFFFF"/>
        <w:rPr>
          <w:rFonts w:ascii="Georgia" w:hAnsi="Georgia"/>
          <w:spacing w:val="1"/>
          <w:lang w:val="en-GB"/>
        </w:rPr>
      </w:pPr>
      <w:r>
        <w:rPr>
          <w:rFonts w:ascii="Georgia" w:hAnsi="Georgia"/>
          <w:spacing w:val="1"/>
          <w:lang w:val="en-GB"/>
        </w:rPr>
        <w:t xml:space="preserve">(3) </w:t>
      </w:r>
      <w:r w:rsidRPr="00FE19E4">
        <w:rPr>
          <w:rFonts w:ascii="Georgia" w:hAnsi="Georgia"/>
          <w:spacing w:val="1"/>
          <w:highlight w:val="yellow"/>
          <w:lang w:val="en-GB"/>
        </w:rPr>
        <w:t>The discrepancies in the simulated SSR over SA are larger in the RCMs than in the GCMs.</w:t>
      </w:r>
      <w:r>
        <w:rPr>
          <w:rFonts w:ascii="Georgia" w:hAnsi="Georgia"/>
          <w:spacing w:val="1"/>
          <w:lang w:val="en-GB"/>
        </w:rPr>
        <w:t xml:space="preserve"> </w:t>
      </w:r>
    </w:p>
    <w:p w14:paraId="2C64EB5C" w14:textId="77777777" w:rsidR="004E60FB" w:rsidRDefault="004A6903" w:rsidP="004A6903">
      <w:pPr>
        <w:pStyle w:val="para1"/>
        <w:shd w:val="clear" w:color="auto" w:fill="FFFFFF"/>
        <w:rPr>
          <w:rFonts w:ascii="Georgia" w:hAnsi="Georgia"/>
          <w:spacing w:val="1"/>
          <w:lang w:val="en-GB"/>
        </w:rPr>
      </w:pPr>
      <w:r>
        <w:rPr>
          <w:rFonts w:ascii="Georgia" w:hAnsi="Georgia"/>
          <w:spacing w:val="1"/>
          <w:lang w:val="en-GB"/>
        </w:rPr>
        <w:t>(4) In terms of trend during the “brightening” period 1990–2005, both GCMs and RCMs (driven by European Centre for Medium-Range Weather Forecasts Reanalysis ERA-Interim, short as ERAINT and GCMs) simulate an SSR trend of less than 1 W/m</w:t>
      </w:r>
      <w:r>
        <w:rPr>
          <w:rFonts w:ascii="Georgia" w:hAnsi="Georgia"/>
          <w:spacing w:val="1"/>
          <w:vertAlign w:val="superscript"/>
          <w:lang w:val="en-GB"/>
        </w:rPr>
        <w:t>2</w:t>
      </w:r>
      <w:r>
        <w:rPr>
          <w:rFonts w:ascii="Georgia" w:hAnsi="Georgia"/>
          <w:spacing w:val="1"/>
          <w:lang w:val="en-GB"/>
        </w:rPr>
        <w:t xml:space="preserve"> per decade. However, variations of SSR trend exist among different references data. </w:t>
      </w:r>
    </w:p>
    <w:p w14:paraId="1A1ED11A" w14:textId="77777777" w:rsidR="004E60FB" w:rsidRDefault="004A6903" w:rsidP="004A6903">
      <w:pPr>
        <w:pStyle w:val="para1"/>
        <w:shd w:val="clear" w:color="auto" w:fill="FFFFFF"/>
        <w:rPr>
          <w:rFonts w:ascii="Georgia" w:hAnsi="Georgia"/>
          <w:spacing w:val="1"/>
          <w:lang w:val="en-GB"/>
        </w:rPr>
      </w:pPr>
      <w:r>
        <w:rPr>
          <w:rFonts w:ascii="Georgia" w:hAnsi="Georgia"/>
          <w:spacing w:val="1"/>
          <w:lang w:val="en-GB"/>
        </w:rPr>
        <w:t xml:space="preserve">(5) For individual RCM models, their SSR bias fields seem rather insensitive with respect to the different lateral </w:t>
      </w:r>
      <w:proofErr w:type="spellStart"/>
      <w:r>
        <w:rPr>
          <w:rFonts w:ascii="Georgia" w:hAnsi="Georgia"/>
          <w:spacing w:val="1"/>
          <w:lang w:val="en-GB"/>
        </w:rPr>
        <w:t>forcings</w:t>
      </w:r>
      <w:proofErr w:type="spellEnd"/>
      <w:r>
        <w:rPr>
          <w:rFonts w:ascii="Georgia" w:hAnsi="Georgia"/>
          <w:spacing w:val="1"/>
          <w:lang w:val="en-GB"/>
        </w:rPr>
        <w:t xml:space="preserve"> provided by ERAINT and various GCMs, in line with previous findings over Europe. </w:t>
      </w:r>
    </w:p>
    <w:p w14:paraId="17BC869E" w14:textId="77777777" w:rsidR="004E60FB" w:rsidRDefault="004E60FB" w:rsidP="004A6903">
      <w:pPr>
        <w:pStyle w:val="para1"/>
        <w:shd w:val="clear" w:color="auto" w:fill="FFFFFF"/>
        <w:rPr>
          <w:rFonts w:ascii="Georgia" w:hAnsi="Georgia"/>
          <w:spacing w:val="1"/>
          <w:lang w:val="en-GB"/>
        </w:rPr>
      </w:pPr>
    </w:p>
    <w:p w14:paraId="39CCEECE" w14:textId="2B488253" w:rsidR="004A6903" w:rsidRDefault="004A6903" w:rsidP="004A6903">
      <w:pPr>
        <w:pStyle w:val="para1"/>
        <w:shd w:val="clear" w:color="auto" w:fill="FFFFFF"/>
        <w:rPr>
          <w:rFonts w:ascii="Georgia" w:hAnsi="Georgia"/>
          <w:spacing w:val="1"/>
          <w:lang w:val="en-GB"/>
        </w:rPr>
      </w:pPr>
      <w:r>
        <w:rPr>
          <w:rFonts w:ascii="Georgia" w:hAnsi="Georgia"/>
          <w:spacing w:val="1"/>
          <w:lang w:val="en-GB"/>
        </w:rPr>
        <w:t>(6) Biases in SSR are overall qualitatively consistent with those in total cloud cover. The information obtained in present study is of crucial importance for understanding future climate projections of SSR and for relevant impact studies.</w:t>
      </w:r>
    </w:p>
    <w:p w14:paraId="354A5950" w14:textId="21B21C6F" w:rsidR="00AF61ED" w:rsidRDefault="0002455A" w:rsidP="00FD025A">
      <w:pPr>
        <w:spacing w:before="100" w:beforeAutospacing="1" w:after="100" w:afterAutospacing="1" w:line="240" w:lineRule="auto"/>
        <w:rPr>
          <w:rFonts w:ascii="Arial" w:eastAsia="Times New Roman" w:hAnsi="Arial" w:cs="Arial"/>
          <w:sz w:val="20"/>
          <w:szCs w:val="20"/>
          <w:lang w:val="en" w:eastAsia="en-ZA"/>
        </w:rPr>
      </w:pPr>
      <w:r>
        <w:rPr>
          <w:rFonts w:ascii="Georgia" w:hAnsi="Georgia"/>
          <w:noProof/>
          <w:color w:val="0000FF"/>
          <w:spacing w:val="1"/>
          <w:lang w:val="en-GB"/>
        </w:rPr>
        <w:drawing>
          <wp:inline distT="0" distB="0" distL="0" distR="0" wp14:anchorId="3C28189C" wp14:editId="13D09788">
            <wp:extent cx="5731510" cy="3474085"/>
            <wp:effectExtent l="0" t="0" r="2540" b="0"/>
            <wp:docPr id="6" name="Picture 6" descr="Fig. 12">
              <a:hlinkClick xmlns:a="http://schemas.openxmlformats.org/drawingml/2006/main" r:id="rId11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ig. 12">
                      <a:hlinkClick r:id="rId112" tgtFrame="&quot;_blank&quot;"/>
                    </pic:cNvPr>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731510" cy="3474085"/>
                    </a:xfrm>
                    <a:prstGeom prst="rect">
                      <a:avLst/>
                    </a:prstGeom>
                    <a:noFill/>
                    <a:ln>
                      <a:noFill/>
                    </a:ln>
                  </pic:spPr>
                </pic:pic>
              </a:graphicData>
            </a:graphic>
          </wp:inline>
        </w:drawing>
      </w:r>
    </w:p>
    <w:p w14:paraId="43646EBB" w14:textId="77777777" w:rsidR="00C150E8" w:rsidRDefault="00C150E8" w:rsidP="00C150E8">
      <w:pPr>
        <w:shd w:val="clear" w:color="auto" w:fill="FFFFFF"/>
        <w:rPr>
          <w:rFonts w:ascii="Georgia" w:hAnsi="Georgia"/>
          <w:color w:val="666666"/>
          <w:spacing w:val="1"/>
          <w:lang w:val="en-GB"/>
        </w:rPr>
      </w:pPr>
      <w:r>
        <w:rPr>
          <w:rFonts w:ascii="Source Sans Pro" w:hAnsi="Source Sans Pro"/>
          <w:b/>
          <w:bCs/>
          <w:color w:val="333333"/>
          <w:spacing w:val="1"/>
          <w:sz w:val="21"/>
          <w:szCs w:val="21"/>
          <w:lang w:val="en-GB"/>
        </w:rPr>
        <w:t>Fig. 12</w:t>
      </w:r>
      <w:r>
        <w:rPr>
          <w:rFonts w:ascii="Georgia" w:hAnsi="Georgia"/>
          <w:color w:val="666666"/>
          <w:spacing w:val="1"/>
          <w:lang w:val="en-GB"/>
        </w:rPr>
        <w:t xml:space="preserve"> </w:t>
      </w:r>
    </w:p>
    <w:p w14:paraId="7EF8D356" w14:textId="77777777" w:rsidR="00C150E8" w:rsidRDefault="00C150E8" w:rsidP="00C150E8">
      <w:pPr>
        <w:pStyle w:val="simplepara"/>
        <w:shd w:val="clear" w:color="auto" w:fill="FFFFFF"/>
        <w:rPr>
          <w:rFonts w:ascii="Georgia" w:hAnsi="Georgia"/>
          <w:color w:val="666666"/>
          <w:spacing w:val="1"/>
          <w:lang w:val="en-GB"/>
        </w:rPr>
      </w:pPr>
      <w:r>
        <w:rPr>
          <w:rFonts w:ascii="Georgia" w:hAnsi="Georgia"/>
          <w:color w:val="666666"/>
          <w:spacing w:val="1"/>
          <w:lang w:val="en-GB"/>
        </w:rPr>
        <w:t>Latitudinal variation of the monthly SSR Mean Absolute Bias (MAB) from SARAH-2 (red), ERAINT (light green), SRB (green) and CFSR (blue) at the GEBA stations (Fig. </w:t>
      </w:r>
      <w:hyperlink r:id="rId114" w:anchor="Fig1" w:history="1">
        <w:r>
          <w:rPr>
            <w:rStyle w:val="Hyperlink"/>
            <w:rFonts w:ascii="Source Sans Pro" w:hAnsi="Source Sans Pro"/>
            <w:spacing w:val="1"/>
            <w:lang w:val="en-GB"/>
          </w:rPr>
          <w:t>1</w:t>
        </w:r>
      </w:hyperlink>
      <w:r>
        <w:rPr>
          <w:rFonts w:ascii="Georgia" w:hAnsi="Georgia"/>
          <w:color w:val="666666"/>
          <w:spacing w:val="1"/>
          <w:lang w:val="en-GB"/>
        </w:rPr>
        <w:t xml:space="preserve">) during 1990–2005. Each MAB is an averaged value from all the stations located in a 5° latitude interval. The number of stations is indicated by the </w:t>
      </w:r>
      <w:proofErr w:type="spellStart"/>
      <w:r>
        <w:rPr>
          <w:rFonts w:ascii="Georgia" w:hAnsi="Georgia"/>
          <w:color w:val="666666"/>
          <w:spacing w:val="1"/>
          <w:lang w:val="en-GB"/>
        </w:rPr>
        <w:t>gray</w:t>
      </w:r>
      <w:proofErr w:type="spellEnd"/>
      <w:r>
        <w:rPr>
          <w:rFonts w:ascii="Georgia" w:hAnsi="Georgia"/>
          <w:color w:val="666666"/>
          <w:spacing w:val="1"/>
          <w:lang w:val="en-GB"/>
        </w:rPr>
        <w:t xml:space="preserve"> bar in each interval</w:t>
      </w:r>
    </w:p>
    <w:p w14:paraId="48F989E4" w14:textId="282BD92E" w:rsidR="00C150E8" w:rsidRDefault="00C150E8" w:rsidP="00FD025A">
      <w:pPr>
        <w:spacing w:before="100" w:beforeAutospacing="1" w:after="100" w:afterAutospacing="1" w:line="240" w:lineRule="auto"/>
        <w:rPr>
          <w:rFonts w:ascii="Arial" w:eastAsia="Times New Roman" w:hAnsi="Arial" w:cs="Arial"/>
          <w:sz w:val="20"/>
          <w:szCs w:val="20"/>
          <w:lang w:val="en" w:eastAsia="en-ZA"/>
        </w:rPr>
      </w:pPr>
    </w:p>
    <w:p w14:paraId="35377C06" w14:textId="7E7A41D9" w:rsidR="00C150E8" w:rsidRDefault="00C150E8" w:rsidP="00FD025A">
      <w:pPr>
        <w:spacing w:before="100" w:beforeAutospacing="1" w:after="100" w:afterAutospacing="1" w:line="240" w:lineRule="auto"/>
        <w:rPr>
          <w:rFonts w:ascii="Arial" w:eastAsia="Times New Roman" w:hAnsi="Arial" w:cs="Arial"/>
          <w:sz w:val="20"/>
          <w:szCs w:val="20"/>
          <w:lang w:val="en" w:eastAsia="en-ZA"/>
        </w:rPr>
      </w:pPr>
      <w:r>
        <w:rPr>
          <w:rFonts w:ascii="Georgia" w:hAnsi="Georgia"/>
          <w:noProof/>
          <w:color w:val="0000FF"/>
          <w:spacing w:val="1"/>
          <w:lang w:val="en-GB"/>
        </w:rPr>
        <w:drawing>
          <wp:inline distT="0" distB="0" distL="0" distR="0" wp14:anchorId="008FF4CB" wp14:editId="7F535D99">
            <wp:extent cx="5731510" cy="2944495"/>
            <wp:effectExtent l="0" t="0" r="2540" b="8255"/>
            <wp:docPr id="7" name="Picture 7" descr="Fig. 13">
              <a:hlinkClick xmlns:a="http://schemas.openxmlformats.org/drawingml/2006/main" r:id="rId11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ig. 13">
                      <a:hlinkClick r:id="rId115" tgtFrame="&quot;_blank&quot;"/>
                    </pic:cNvPr>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731510" cy="2944495"/>
                    </a:xfrm>
                    <a:prstGeom prst="rect">
                      <a:avLst/>
                    </a:prstGeom>
                    <a:noFill/>
                    <a:ln>
                      <a:noFill/>
                    </a:ln>
                  </pic:spPr>
                </pic:pic>
              </a:graphicData>
            </a:graphic>
          </wp:inline>
        </w:drawing>
      </w:r>
    </w:p>
    <w:p w14:paraId="61AF0B1C" w14:textId="77777777" w:rsidR="00614B3C" w:rsidRPr="00614B3C" w:rsidRDefault="00614B3C" w:rsidP="00614B3C">
      <w:pPr>
        <w:shd w:val="clear" w:color="auto" w:fill="FFFFFF"/>
        <w:spacing w:after="0" w:line="240" w:lineRule="auto"/>
        <w:rPr>
          <w:rFonts w:ascii="Georgia" w:eastAsia="Times New Roman" w:hAnsi="Georgia" w:cs="Times New Roman"/>
          <w:color w:val="666666"/>
          <w:spacing w:val="1"/>
          <w:sz w:val="24"/>
          <w:szCs w:val="24"/>
          <w:lang w:val="en-GB" w:eastAsia="en-ZA"/>
        </w:rPr>
      </w:pPr>
      <w:r w:rsidRPr="00614B3C">
        <w:rPr>
          <w:rFonts w:ascii="Source Sans Pro" w:eastAsia="Times New Roman" w:hAnsi="Source Sans Pro" w:cs="Times New Roman"/>
          <w:b/>
          <w:bCs/>
          <w:color w:val="333333"/>
          <w:spacing w:val="1"/>
          <w:sz w:val="21"/>
          <w:szCs w:val="21"/>
          <w:lang w:val="en-GB" w:eastAsia="en-ZA"/>
        </w:rPr>
        <w:t>Fig. 13</w:t>
      </w:r>
      <w:r w:rsidRPr="00614B3C">
        <w:rPr>
          <w:rFonts w:ascii="Georgia" w:eastAsia="Times New Roman" w:hAnsi="Georgia" w:cs="Times New Roman"/>
          <w:color w:val="666666"/>
          <w:spacing w:val="1"/>
          <w:sz w:val="24"/>
          <w:szCs w:val="24"/>
          <w:lang w:val="en-GB" w:eastAsia="en-ZA"/>
        </w:rPr>
        <w:t xml:space="preserve"> </w:t>
      </w:r>
    </w:p>
    <w:p w14:paraId="134A2E88" w14:textId="77777777" w:rsidR="00614B3C" w:rsidRPr="00614B3C" w:rsidRDefault="00614B3C" w:rsidP="00614B3C">
      <w:pPr>
        <w:shd w:val="clear" w:color="auto" w:fill="FFFFFF"/>
        <w:spacing w:before="100" w:beforeAutospacing="1" w:after="100" w:afterAutospacing="1" w:line="240" w:lineRule="auto"/>
        <w:rPr>
          <w:rFonts w:ascii="Georgia" w:eastAsia="Times New Roman" w:hAnsi="Georgia" w:cs="Times New Roman"/>
          <w:color w:val="666666"/>
          <w:spacing w:val="1"/>
          <w:sz w:val="24"/>
          <w:szCs w:val="24"/>
          <w:lang w:val="en-GB" w:eastAsia="en-ZA"/>
        </w:rPr>
      </w:pPr>
      <w:r w:rsidRPr="00614B3C">
        <w:rPr>
          <w:rFonts w:ascii="Georgia" w:eastAsia="Times New Roman" w:hAnsi="Georgia" w:cs="Times New Roman"/>
          <w:color w:val="666666"/>
          <w:spacing w:val="1"/>
          <w:sz w:val="24"/>
          <w:szCs w:val="24"/>
          <w:lang w:val="en-GB" w:eastAsia="en-ZA"/>
        </w:rPr>
        <w:t xml:space="preserve">Multi-model seasonal mean SSR (CLT) differences with respect to SARAH-2 (CLARA-A2) in DJF and JJA seasons over the period 1990–2005. In order to avoid overrepresentation of those RCMs having many simulations (4 in CCLM4 and 10 in RCA4, 3 in HIRHAM4 and 2 in RACM22T and REMO2009), each model bias is firstly determined as average over the simulations conducted by this model, and then only the 5 remaining bias fields were averaged to obtain the </w:t>
      </w:r>
      <w:proofErr w:type="spellStart"/>
      <w:r w:rsidRPr="00614B3C">
        <w:rPr>
          <w:rFonts w:ascii="Georgia" w:eastAsia="Times New Roman" w:hAnsi="Georgia" w:cs="Times New Roman"/>
          <w:color w:val="666666"/>
          <w:spacing w:val="1"/>
          <w:sz w:val="24"/>
          <w:szCs w:val="24"/>
          <w:lang w:val="en-GB" w:eastAsia="en-ZA"/>
        </w:rPr>
        <w:t>multimodel</w:t>
      </w:r>
      <w:proofErr w:type="spellEnd"/>
      <w:r w:rsidRPr="00614B3C">
        <w:rPr>
          <w:rFonts w:ascii="Georgia" w:eastAsia="Times New Roman" w:hAnsi="Georgia" w:cs="Times New Roman"/>
          <w:color w:val="666666"/>
          <w:spacing w:val="1"/>
          <w:sz w:val="24"/>
          <w:szCs w:val="24"/>
          <w:lang w:val="en-GB" w:eastAsia="en-ZA"/>
        </w:rPr>
        <w:t xml:space="preserve"> mean. However, the resulting </w:t>
      </w:r>
      <w:proofErr w:type="spellStart"/>
      <w:r w:rsidRPr="00614B3C">
        <w:rPr>
          <w:rFonts w:ascii="Georgia" w:eastAsia="Times New Roman" w:hAnsi="Georgia" w:cs="Times New Roman"/>
          <w:color w:val="666666"/>
          <w:spacing w:val="1"/>
          <w:sz w:val="24"/>
          <w:szCs w:val="24"/>
          <w:lang w:val="en-GB" w:eastAsia="en-ZA"/>
        </w:rPr>
        <w:t>multimodel</w:t>
      </w:r>
      <w:proofErr w:type="spellEnd"/>
      <w:r w:rsidRPr="00614B3C">
        <w:rPr>
          <w:rFonts w:ascii="Georgia" w:eastAsia="Times New Roman" w:hAnsi="Georgia" w:cs="Times New Roman"/>
          <w:color w:val="666666"/>
          <w:spacing w:val="1"/>
          <w:sz w:val="24"/>
          <w:szCs w:val="24"/>
          <w:lang w:val="en-GB" w:eastAsia="en-ZA"/>
        </w:rPr>
        <w:t xml:space="preserve"> mean SSR field shows only negligible differences compared an unweighted average over all 20 RCMs simulations, so the “overrepresentation” is not crucial in this study</w:t>
      </w:r>
    </w:p>
    <w:p w14:paraId="333D2D20" w14:textId="62B92F1A" w:rsidR="00614B3C" w:rsidRDefault="00614B3C" w:rsidP="00FD025A">
      <w:pPr>
        <w:spacing w:before="100" w:beforeAutospacing="1" w:after="100" w:afterAutospacing="1" w:line="240" w:lineRule="auto"/>
        <w:rPr>
          <w:rFonts w:ascii="Arial" w:eastAsia="Times New Roman" w:hAnsi="Arial" w:cs="Arial"/>
          <w:sz w:val="20"/>
          <w:szCs w:val="20"/>
          <w:lang w:val="en" w:eastAsia="en-ZA"/>
        </w:rPr>
      </w:pPr>
    </w:p>
    <w:p w14:paraId="7550F08D" w14:textId="3D2957F2" w:rsidR="007C633A" w:rsidRDefault="007C633A" w:rsidP="00FD025A">
      <w:pPr>
        <w:spacing w:before="100" w:beforeAutospacing="1" w:after="100" w:afterAutospacing="1" w:line="240" w:lineRule="auto"/>
        <w:rPr>
          <w:rFonts w:ascii="Arial" w:eastAsia="Times New Roman" w:hAnsi="Arial" w:cs="Arial"/>
          <w:sz w:val="20"/>
          <w:szCs w:val="20"/>
          <w:lang w:val="en" w:eastAsia="en-ZA"/>
        </w:rPr>
      </w:pPr>
    </w:p>
    <w:p w14:paraId="37A9B0B0" w14:textId="77777777" w:rsidR="007C633A" w:rsidRDefault="007C633A" w:rsidP="007C633A">
      <w:pPr>
        <w:spacing w:before="100" w:beforeAutospacing="1" w:after="100" w:afterAutospacing="1" w:line="240" w:lineRule="auto"/>
        <w:rPr>
          <w:rFonts w:ascii="Arial" w:eastAsia="Times New Roman" w:hAnsi="Arial" w:cs="Arial"/>
          <w:sz w:val="20"/>
          <w:szCs w:val="20"/>
          <w:lang w:val="en" w:eastAsia="en-ZA"/>
        </w:rPr>
      </w:pPr>
    </w:p>
    <w:p w14:paraId="03EC104E" w14:textId="77777777" w:rsidR="007C633A" w:rsidRDefault="007C633A" w:rsidP="007C633A">
      <w:pPr>
        <w:spacing w:before="100" w:beforeAutospacing="1" w:after="100" w:afterAutospacing="1" w:line="240" w:lineRule="auto"/>
        <w:rPr>
          <w:rFonts w:ascii="Arial" w:eastAsia="Times New Roman" w:hAnsi="Arial" w:cs="Arial"/>
          <w:sz w:val="20"/>
          <w:szCs w:val="20"/>
          <w:lang w:val="en" w:eastAsia="en-ZA"/>
        </w:rPr>
      </w:pPr>
      <w:r w:rsidRPr="00FD025A">
        <w:rPr>
          <w:rFonts w:ascii="Arial" w:eastAsia="Times New Roman" w:hAnsi="Arial" w:cs="Arial"/>
          <w:sz w:val="20"/>
          <w:szCs w:val="20"/>
          <w:lang w:val="en" w:eastAsia="en-ZA"/>
        </w:rPr>
        <w:t>Establishment of the</w:t>
      </w:r>
      <w:r>
        <w:rPr>
          <w:rFonts w:ascii="Arial" w:eastAsia="Times New Roman" w:hAnsi="Arial" w:cs="Arial"/>
          <w:sz w:val="20"/>
          <w:szCs w:val="20"/>
          <w:lang w:val="en" w:eastAsia="en-ZA"/>
        </w:rPr>
        <w:t xml:space="preserve"> </w:t>
      </w:r>
      <w:r w:rsidRPr="00FD025A">
        <w:rPr>
          <w:rFonts w:ascii="Arial" w:eastAsia="Times New Roman" w:hAnsi="Arial" w:cs="Arial"/>
          <w:sz w:val="20"/>
          <w:szCs w:val="20"/>
          <w:lang w:val="en" w:eastAsia="en-ZA"/>
        </w:rPr>
        <w:t>South African baseline surface radiation</w:t>
      </w:r>
      <w:r>
        <w:rPr>
          <w:rFonts w:ascii="Arial" w:eastAsia="Times New Roman" w:hAnsi="Arial" w:cs="Arial"/>
          <w:sz w:val="20"/>
          <w:szCs w:val="20"/>
          <w:lang w:val="en" w:eastAsia="en-ZA"/>
        </w:rPr>
        <w:t xml:space="preserve"> </w:t>
      </w:r>
      <w:r w:rsidRPr="00FD025A">
        <w:rPr>
          <w:rFonts w:ascii="Arial" w:eastAsia="Times New Roman" w:hAnsi="Arial" w:cs="Arial"/>
          <w:sz w:val="20"/>
          <w:szCs w:val="20"/>
          <w:lang w:val="en" w:eastAsia="en-ZA"/>
        </w:rPr>
        <w:t>network station at De Aar</w:t>
      </w:r>
    </w:p>
    <w:p w14:paraId="123A34F0" w14:textId="77777777" w:rsidR="007C633A" w:rsidRDefault="000C29B0" w:rsidP="007C633A">
      <w:pPr>
        <w:spacing w:before="100" w:beforeAutospacing="1" w:after="100" w:afterAutospacing="1" w:line="240" w:lineRule="auto"/>
        <w:rPr>
          <w:rFonts w:ascii="Arial" w:eastAsia="Times New Roman" w:hAnsi="Arial" w:cs="Arial"/>
          <w:sz w:val="20"/>
          <w:szCs w:val="20"/>
          <w:lang w:val="en" w:eastAsia="en-ZA"/>
        </w:rPr>
      </w:pPr>
      <w:hyperlink r:id="rId117" w:history="1">
        <w:r w:rsidR="007C633A" w:rsidRPr="004A3001">
          <w:rPr>
            <w:rStyle w:val="Hyperlink"/>
            <w:rFonts w:ascii="Arial" w:eastAsia="Times New Roman" w:hAnsi="Arial" w:cs="Arial"/>
            <w:sz w:val="20"/>
            <w:szCs w:val="20"/>
            <w:lang w:val="en" w:eastAsia="en-ZA"/>
          </w:rPr>
          <w:t>https://doi.pangaea.de/10.1594/PANGAEA.887031</w:t>
        </w:r>
      </w:hyperlink>
      <w:r w:rsidR="007C633A">
        <w:rPr>
          <w:rFonts w:ascii="Arial" w:eastAsia="Times New Roman" w:hAnsi="Arial" w:cs="Arial"/>
          <w:sz w:val="20"/>
          <w:szCs w:val="20"/>
          <w:lang w:val="en" w:eastAsia="en-ZA"/>
        </w:rPr>
        <w:t xml:space="preserve"> data portal: must log in.</w:t>
      </w:r>
    </w:p>
    <w:p w14:paraId="3FABC974" w14:textId="77777777" w:rsidR="007C633A" w:rsidRDefault="007C633A" w:rsidP="007C633A">
      <w:pPr>
        <w:pStyle w:val="NormalWeb"/>
        <w:rPr>
          <w:rFonts w:ascii="Verdana" w:hAnsi="Verdana"/>
          <w:sz w:val="19"/>
          <w:szCs w:val="19"/>
        </w:rPr>
      </w:pPr>
    </w:p>
    <w:p w14:paraId="3C5C2A80" w14:textId="77777777" w:rsidR="007C633A" w:rsidRDefault="000C29B0" w:rsidP="007C633A">
      <w:pPr>
        <w:spacing w:before="100" w:beforeAutospacing="1" w:after="100" w:afterAutospacing="1" w:line="240" w:lineRule="auto"/>
        <w:rPr>
          <w:rFonts w:ascii="Arial" w:eastAsia="Times New Roman" w:hAnsi="Arial" w:cs="Arial"/>
          <w:sz w:val="20"/>
          <w:szCs w:val="20"/>
          <w:lang w:val="en" w:eastAsia="en-ZA"/>
        </w:rPr>
      </w:pPr>
      <w:hyperlink r:id="rId118" w:history="1">
        <w:r w:rsidR="007C633A" w:rsidRPr="004A3001">
          <w:rPr>
            <w:rStyle w:val="Hyperlink"/>
            <w:rFonts w:ascii="Arial" w:eastAsia="Times New Roman" w:hAnsi="Arial" w:cs="Arial"/>
            <w:sz w:val="20"/>
            <w:szCs w:val="20"/>
            <w:lang w:val="en" w:eastAsia="en-ZA"/>
          </w:rPr>
          <w:t>http://www.saeon.ac.za/Observations-on-Environmental-Change-in-SA-e-version-Section-2.pdf</w:t>
        </w:r>
      </w:hyperlink>
    </w:p>
    <w:p w14:paraId="36D755A7" w14:textId="77777777" w:rsidR="007C633A" w:rsidRDefault="007C633A" w:rsidP="007C633A">
      <w:pPr>
        <w:spacing w:before="100" w:beforeAutospacing="1" w:after="100" w:afterAutospacing="1" w:line="240" w:lineRule="auto"/>
        <w:rPr>
          <w:rFonts w:ascii="Arial" w:eastAsia="Times New Roman" w:hAnsi="Arial" w:cs="Arial"/>
          <w:sz w:val="20"/>
          <w:szCs w:val="20"/>
          <w:lang w:val="en" w:eastAsia="en-ZA"/>
        </w:rPr>
      </w:pPr>
      <w:r>
        <w:rPr>
          <w:rFonts w:ascii="Arial" w:eastAsia="Times New Roman" w:hAnsi="Arial" w:cs="Arial"/>
          <w:sz w:val="20"/>
          <w:szCs w:val="20"/>
          <w:lang w:val="en" w:eastAsia="en-ZA"/>
        </w:rPr>
        <w:t>Measurement initiative: South African Environmental Observation Network (SAEON)</w:t>
      </w:r>
    </w:p>
    <w:p w14:paraId="7DFDC9BF" w14:textId="2B0A0D77" w:rsidR="007C633A" w:rsidRDefault="007C633A" w:rsidP="007C633A">
      <w:pPr>
        <w:spacing w:before="100" w:beforeAutospacing="1" w:after="100" w:afterAutospacing="1" w:line="240" w:lineRule="auto"/>
        <w:rPr>
          <w:rFonts w:ascii="Arial" w:eastAsia="Times New Roman" w:hAnsi="Arial" w:cs="Arial"/>
          <w:sz w:val="20"/>
          <w:szCs w:val="20"/>
          <w:lang w:val="en" w:eastAsia="en-ZA"/>
        </w:rPr>
      </w:pPr>
    </w:p>
    <w:p w14:paraId="3BB35D21" w14:textId="5510C738" w:rsidR="00A942CC" w:rsidRDefault="00A942CC" w:rsidP="007C633A">
      <w:pPr>
        <w:spacing w:before="100" w:beforeAutospacing="1" w:after="100" w:afterAutospacing="1" w:line="240" w:lineRule="auto"/>
        <w:rPr>
          <w:rFonts w:ascii="Arial" w:eastAsia="Times New Roman" w:hAnsi="Arial" w:cs="Arial"/>
          <w:sz w:val="20"/>
          <w:szCs w:val="20"/>
          <w:lang w:val="en" w:eastAsia="en-ZA"/>
        </w:rPr>
      </w:pPr>
    </w:p>
    <w:p w14:paraId="7FB78BA7" w14:textId="1F554317" w:rsidR="004B0033" w:rsidRDefault="004B0033" w:rsidP="007C633A">
      <w:pPr>
        <w:spacing w:before="100" w:beforeAutospacing="1" w:after="100" w:afterAutospacing="1" w:line="240" w:lineRule="auto"/>
        <w:rPr>
          <w:rFonts w:ascii="Arial" w:eastAsia="Times New Roman" w:hAnsi="Arial" w:cs="Arial"/>
          <w:sz w:val="20"/>
          <w:szCs w:val="20"/>
          <w:lang w:val="en" w:eastAsia="en-ZA"/>
        </w:rPr>
      </w:pPr>
      <w:r w:rsidRPr="004B0033">
        <w:rPr>
          <w:rFonts w:ascii="Arial" w:eastAsia="Times New Roman" w:hAnsi="Arial" w:cs="Arial"/>
          <w:sz w:val="20"/>
          <w:szCs w:val="20"/>
          <w:lang w:val="en" w:eastAsia="en-ZA"/>
        </w:rPr>
        <w:lastRenderedPageBreak/>
        <w:t>https://www.sciencedirect.com/science/article/pii/S0022169404004056</w:t>
      </w:r>
    </w:p>
    <w:p w14:paraId="761FA92A" w14:textId="0D73B597" w:rsidR="007C633A" w:rsidRDefault="00A942CC" w:rsidP="00FD025A">
      <w:pPr>
        <w:spacing w:before="100" w:beforeAutospacing="1" w:after="100" w:afterAutospacing="1" w:line="240" w:lineRule="auto"/>
        <w:rPr>
          <w:rFonts w:ascii="Arial" w:eastAsia="Times New Roman" w:hAnsi="Arial" w:cs="Arial"/>
          <w:sz w:val="20"/>
          <w:szCs w:val="20"/>
          <w:lang w:val="en" w:eastAsia="en-ZA"/>
        </w:rPr>
      </w:pPr>
      <w:r w:rsidRPr="00A942CC">
        <w:rPr>
          <w:rFonts w:ascii="Arial" w:eastAsia="Times New Roman" w:hAnsi="Arial" w:cs="Arial"/>
          <w:sz w:val="20"/>
          <w:szCs w:val="20"/>
          <w:lang w:val="en" w:eastAsia="en-ZA"/>
        </w:rPr>
        <w:t xml:space="preserve">Which potential evapotranspiration input for a lumped rainfall–runoff </w:t>
      </w:r>
      <w:proofErr w:type="gramStart"/>
      <w:r w:rsidRPr="00A942CC">
        <w:rPr>
          <w:rFonts w:ascii="Arial" w:eastAsia="Times New Roman" w:hAnsi="Arial" w:cs="Arial"/>
          <w:sz w:val="20"/>
          <w:szCs w:val="20"/>
          <w:lang w:val="en" w:eastAsia="en-ZA"/>
        </w:rPr>
        <w:t>model?:</w:t>
      </w:r>
      <w:proofErr w:type="gramEnd"/>
      <w:r w:rsidRPr="00A942CC">
        <w:rPr>
          <w:rFonts w:ascii="Arial" w:eastAsia="Times New Roman" w:hAnsi="Arial" w:cs="Arial"/>
          <w:sz w:val="20"/>
          <w:szCs w:val="20"/>
          <w:lang w:val="en" w:eastAsia="en-ZA"/>
        </w:rPr>
        <w:t xml:space="preserve"> Part 2—Towards a simple and efficient potential evapotranspiration model for rainfall–runoff modelling</w:t>
      </w:r>
    </w:p>
    <w:p w14:paraId="04A817F5" w14:textId="05E77049" w:rsidR="007C633A" w:rsidRDefault="00A05ACE" w:rsidP="00FD025A">
      <w:pPr>
        <w:spacing w:before="100" w:beforeAutospacing="1" w:after="100" w:afterAutospacing="1" w:line="240" w:lineRule="auto"/>
        <w:rPr>
          <w:rFonts w:ascii="Arial" w:eastAsia="Times New Roman" w:hAnsi="Arial" w:cs="Arial"/>
          <w:sz w:val="20"/>
          <w:szCs w:val="20"/>
          <w:lang w:val="en" w:eastAsia="en-ZA"/>
        </w:rPr>
      </w:pPr>
      <w:r w:rsidRPr="00A05ACE">
        <w:rPr>
          <w:rFonts w:ascii="Arial" w:eastAsia="Times New Roman" w:hAnsi="Arial" w:cs="Arial"/>
          <w:sz w:val="20"/>
          <w:szCs w:val="20"/>
          <w:lang w:val="en" w:eastAsia="en-ZA"/>
        </w:rPr>
        <w:drawing>
          <wp:inline distT="0" distB="0" distL="0" distR="0" wp14:anchorId="5D7F1560" wp14:editId="6F63F457">
            <wp:extent cx="5227773" cy="4282811"/>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stretch>
                      <a:fillRect/>
                    </a:stretch>
                  </pic:blipFill>
                  <pic:spPr>
                    <a:xfrm>
                      <a:off x="0" y="0"/>
                      <a:ext cx="5227773" cy="4282811"/>
                    </a:xfrm>
                    <a:prstGeom prst="rect">
                      <a:avLst/>
                    </a:prstGeom>
                  </pic:spPr>
                </pic:pic>
              </a:graphicData>
            </a:graphic>
          </wp:inline>
        </w:drawing>
      </w:r>
    </w:p>
    <w:p w14:paraId="1ACB6681" w14:textId="77777777" w:rsidR="007439B5" w:rsidRDefault="007439B5" w:rsidP="00FD025A">
      <w:pPr>
        <w:spacing w:before="100" w:beforeAutospacing="1" w:after="100" w:afterAutospacing="1" w:line="240" w:lineRule="auto"/>
        <w:rPr>
          <w:rFonts w:ascii="Arial" w:eastAsia="Times New Roman" w:hAnsi="Arial" w:cs="Arial"/>
          <w:sz w:val="20"/>
          <w:szCs w:val="20"/>
          <w:lang w:val="en" w:eastAsia="en-ZA"/>
        </w:rPr>
      </w:pPr>
    </w:p>
    <w:p w14:paraId="1B87A78A" w14:textId="586D087E" w:rsidR="00A05ACE" w:rsidRDefault="00426A1B" w:rsidP="00FD025A">
      <w:pPr>
        <w:spacing w:before="100" w:beforeAutospacing="1" w:after="100" w:afterAutospacing="1" w:line="240" w:lineRule="auto"/>
        <w:rPr>
          <w:rFonts w:ascii="Arial" w:eastAsia="Times New Roman" w:hAnsi="Arial" w:cs="Arial"/>
          <w:b/>
          <w:sz w:val="20"/>
          <w:szCs w:val="20"/>
          <w:lang w:val="en" w:eastAsia="en-ZA"/>
        </w:rPr>
      </w:pPr>
      <w:hyperlink r:id="rId120" w:history="1">
        <w:r w:rsidRPr="008E005B">
          <w:rPr>
            <w:rStyle w:val="Hyperlink"/>
            <w:rFonts w:ascii="Arial" w:eastAsia="Times New Roman" w:hAnsi="Arial" w:cs="Arial"/>
            <w:b/>
            <w:sz w:val="20"/>
            <w:szCs w:val="20"/>
            <w:lang w:val="en" w:eastAsia="en-ZA"/>
          </w:rPr>
          <w:t>https://www.nature.com/articles/nature11983</w:t>
        </w:r>
      </w:hyperlink>
    </w:p>
    <w:p w14:paraId="0C48EFC1" w14:textId="2215B200" w:rsidR="008A3A21" w:rsidRDefault="008A3A21" w:rsidP="00FD025A">
      <w:pPr>
        <w:spacing w:before="100" w:beforeAutospacing="1" w:after="100" w:afterAutospacing="1" w:line="240" w:lineRule="auto"/>
        <w:rPr>
          <w:rFonts w:ascii="Arial" w:eastAsia="Times New Roman" w:hAnsi="Arial" w:cs="Arial"/>
          <w:sz w:val="20"/>
          <w:szCs w:val="20"/>
          <w:lang w:val="en" w:eastAsia="en-ZA"/>
        </w:rPr>
      </w:pPr>
      <w:r>
        <w:rPr>
          <w:rFonts w:ascii="Arial" w:hAnsi="Arial" w:cs="Arial"/>
          <w:lang w:val="en"/>
        </w:rPr>
        <w:t>Terrestrial water fluxes dominated by transpiration</w:t>
      </w:r>
    </w:p>
    <w:p w14:paraId="4B2F0389" w14:textId="4BD35BDA" w:rsidR="00A05ACE" w:rsidRDefault="007439B5" w:rsidP="00FD025A">
      <w:pPr>
        <w:spacing w:before="100" w:beforeAutospacing="1" w:after="100" w:afterAutospacing="1" w:line="240" w:lineRule="auto"/>
        <w:rPr>
          <w:rFonts w:ascii="Arial" w:hAnsi="Arial" w:cs="Arial"/>
          <w:sz w:val="20"/>
          <w:szCs w:val="20"/>
          <w:lang w:val="en"/>
        </w:rPr>
      </w:pPr>
      <w:r>
        <w:rPr>
          <w:rFonts w:ascii="Arial" w:hAnsi="Arial" w:cs="Arial"/>
          <w:sz w:val="20"/>
          <w:szCs w:val="20"/>
          <w:lang w:val="en"/>
        </w:rPr>
        <w:t>Renewable fresh water over continents has input from precipitation and losses to the atmosphere through evaporation and transpiration. Global-scale estimates of transpiration from climate models are poorly constrained owing to large uncertainties in stomatal conductance and the lack of catchment-scale measurements required for model calibration, resulting in a range of predictions spanning 20 to 65 per cent of total terrestrial evapotranspiration (14,000 to 41,000 km</w:t>
      </w:r>
      <w:r>
        <w:rPr>
          <w:rFonts w:ascii="Arial" w:hAnsi="Arial" w:cs="Arial"/>
          <w:sz w:val="15"/>
          <w:szCs w:val="15"/>
          <w:vertAlign w:val="superscript"/>
          <w:lang w:val="en"/>
        </w:rPr>
        <w:t>3</w:t>
      </w:r>
      <w:r>
        <w:rPr>
          <w:rFonts w:ascii="Arial" w:hAnsi="Arial" w:cs="Arial"/>
          <w:sz w:val="20"/>
          <w:szCs w:val="20"/>
          <w:lang w:val="en"/>
        </w:rPr>
        <w:t xml:space="preserve"> per year) (refs </w:t>
      </w:r>
      <w:hyperlink r:id="rId121" w:anchor="ref1" w:tooltip="Lawrence, D. M., Thornton, P. E., Oleson, K. W. &amp; Bonan, G. B. Partitioning of evaporation into transpiration, soil evaporation, and canopy evaporation in a GCM: impacts on land-atmosphere interaction. J. Hydrometeorol. 8, 862–880 (2007)" w:history="1">
        <w:r>
          <w:rPr>
            <w:rStyle w:val="Hyperlink"/>
            <w:rFonts w:ascii="Arial" w:hAnsi="Arial" w:cs="Arial"/>
            <w:sz w:val="20"/>
            <w:szCs w:val="20"/>
            <w:lang w:val="en"/>
          </w:rPr>
          <w:t>1</w:t>
        </w:r>
      </w:hyperlink>
      <w:r>
        <w:rPr>
          <w:rFonts w:ascii="Arial" w:hAnsi="Arial" w:cs="Arial"/>
          <w:sz w:val="20"/>
          <w:szCs w:val="20"/>
          <w:lang w:val="en"/>
        </w:rPr>
        <w:t xml:space="preserve">, </w:t>
      </w:r>
      <w:hyperlink r:id="rId122" w:anchor="ref2" w:tooltip="Alton, P., Fisher, R., Los, S. &amp; Williams, M. Simulations of global evapotranspiration using semiempirical and mechanistic schemes of plant hydrology. Glob. Biogeochem. Cycles 23, GB4023 (2009)" w:history="1">
        <w:r>
          <w:rPr>
            <w:rStyle w:val="Hyperlink"/>
            <w:rFonts w:ascii="Arial" w:hAnsi="Arial" w:cs="Arial"/>
            <w:sz w:val="20"/>
            <w:szCs w:val="20"/>
            <w:lang w:val="en"/>
          </w:rPr>
          <w:t>2</w:t>
        </w:r>
      </w:hyperlink>
      <w:r>
        <w:rPr>
          <w:rFonts w:ascii="Arial" w:hAnsi="Arial" w:cs="Arial"/>
          <w:sz w:val="20"/>
          <w:szCs w:val="20"/>
          <w:lang w:val="en"/>
        </w:rPr>
        <w:t xml:space="preserve">, </w:t>
      </w:r>
      <w:hyperlink r:id="rId123" w:anchor="ref3" w:tooltip="Cao, L., Bala, G., Caldeira, K., Nemani, R. &amp; Ban-Weiss, G. Importance of carbon dioxide physiological forcing to future climate change. Proc. Natl Acad. Sci. USA 107, 9513–9518 (2010)" w:history="1">
        <w:r>
          <w:rPr>
            <w:rStyle w:val="Hyperlink"/>
            <w:rFonts w:ascii="Arial" w:hAnsi="Arial" w:cs="Arial"/>
            <w:sz w:val="20"/>
            <w:szCs w:val="20"/>
            <w:lang w:val="en"/>
          </w:rPr>
          <w:t>3</w:t>
        </w:r>
      </w:hyperlink>
      <w:r>
        <w:rPr>
          <w:rFonts w:ascii="Arial" w:hAnsi="Arial" w:cs="Arial"/>
          <w:sz w:val="20"/>
          <w:szCs w:val="20"/>
          <w:lang w:val="en"/>
        </w:rPr>
        <w:t xml:space="preserve">, </w:t>
      </w:r>
      <w:hyperlink r:id="rId124" w:anchor="ref4" w:tooltip="Ito, A. &amp; Motoko, I. Water-use efficiency of the terrestrial biosphere: a model analysis focusing on interactions between the global carbon and water cycles. J. Hydrometeorol. 13, 681–694 (2012)" w:history="1">
        <w:r>
          <w:rPr>
            <w:rStyle w:val="Hyperlink"/>
            <w:rFonts w:ascii="Arial" w:hAnsi="Arial" w:cs="Arial"/>
            <w:sz w:val="20"/>
            <w:szCs w:val="20"/>
            <w:lang w:val="en"/>
          </w:rPr>
          <w:t>4</w:t>
        </w:r>
      </w:hyperlink>
      <w:r>
        <w:rPr>
          <w:rFonts w:ascii="Arial" w:hAnsi="Arial" w:cs="Arial"/>
          <w:sz w:val="20"/>
          <w:szCs w:val="20"/>
          <w:lang w:val="en"/>
        </w:rPr>
        <w:t xml:space="preserve">, </w:t>
      </w:r>
      <w:hyperlink r:id="rId125" w:anchor="ref5" w:tooltip="Gerten, D. et al. Contemporary “green” water flows: simulations with a dynamic global vegetation and water balance model. Phys. Chem. Earth 30, 334–338 (2005)" w:history="1">
        <w:r>
          <w:rPr>
            <w:rStyle w:val="Hyperlink"/>
            <w:rFonts w:ascii="Arial" w:hAnsi="Arial" w:cs="Arial"/>
            <w:sz w:val="20"/>
            <w:szCs w:val="20"/>
            <w:lang w:val="en"/>
          </w:rPr>
          <w:t>5</w:t>
        </w:r>
      </w:hyperlink>
      <w:r>
        <w:rPr>
          <w:rFonts w:ascii="Arial" w:hAnsi="Arial" w:cs="Arial"/>
          <w:sz w:val="20"/>
          <w:szCs w:val="20"/>
          <w:lang w:val="en"/>
        </w:rPr>
        <w:t xml:space="preserve">). Here we use the distinct isotope effects of transpiration and evaporation to show that transpiration is by far the largest water flux from Earth’s continents, representing 80 to 90 per cent of terrestrial evapotranspiration. </w:t>
      </w:r>
      <w:proofErr w:type="gramStart"/>
      <w:r>
        <w:rPr>
          <w:rFonts w:ascii="Arial" w:hAnsi="Arial" w:cs="Arial"/>
          <w:sz w:val="20"/>
          <w:szCs w:val="20"/>
          <w:lang w:val="en"/>
        </w:rPr>
        <w:t>On the basis of</w:t>
      </w:r>
      <w:proofErr w:type="gramEnd"/>
      <w:r>
        <w:rPr>
          <w:rFonts w:ascii="Arial" w:hAnsi="Arial" w:cs="Arial"/>
          <w:sz w:val="20"/>
          <w:szCs w:val="20"/>
          <w:lang w:val="en"/>
        </w:rPr>
        <w:t xml:space="preserve"> our analysis of a global data set of large lakes and rivers, we conclude that transpiration recycles 62,000 ± 8,000 km</w:t>
      </w:r>
      <w:r>
        <w:rPr>
          <w:rFonts w:ascii="Arial" w:hAnsi="Arial" w:cs="Arial"/>
          <w:sz w:val="15"/>
          <w:szCs w:val="15"/>
          <w:vertAlign w:val="superscript"/>
          <w:lang w:val="en"/>
        </w:rPr>
        <w:t>3</w:t>
      </w:r>
      <w:r>
        <w:rPr>
          <w:rFonts w:ascii="Arial" w:hAnsi="Arial" w:cs="Arial"/>
          <w:sz w:val="20"/>
          <w:szCs w:val="20"/>
          <w:lang w:val="en"/>
        </w:rPr>
        <w:t xml:space="preserve"> of water per year to the atmosphere, using half of all solar energy absorbed by land surfaces in the process. We also calculate CO</w:t>
      </w:r>
      <w:r>
        <w:rPr>
          <w:rFonts w:ascii="Arial" w:hAnsi="Arial" w:cs="Arial"/>
          <w:sz w:val="15"/>
          <w:szCs w:val="15"/>
          <w:vertAlign w:val="subscript"/>
          <w:lang w:val="en"/>
        </w:rPr>
        <w:t>2</w:t>
      </w:r>
      <w:r>
        <w:rPr>
          <w:rFonts w:ascii="Arial" w:hAnsi="Arial" w:cs="Arial"/>
          <w:sz w:val="20"/>
          <w:szCs w:val="20"/>
          <w:lang w:val="en"/>
        </w:rPr>
        <w:t xml:space="preserve"> uptake by terrestrial vegetation by connecting transpiration losses to carbon assimilation using water-use efficiency ratios of plants, and show the global gross primary productivity to be 129 ± 32 </w:t>
      </w:r>
      <w:proofErr w:type="spellStart"/>
      <w:r>
        <w:rPr>
          <w:rFonts w:ascii="Arial" w:hAnsi="Arial" w:cs="Arial"/>
          <w:sz w:val="20"/>
          <w:szCs w:val="20"/>
          <w:lang w:val="en"/>
        </w:rPr>
        <w:t>gigatonnes</w:t>
      </w:r>
      <w:proofErr w:type="spellEnd"/>
      <w:r>
        <w:rPr>
          <w:rFonts w:ascii="Arial" w:hAnsi="Arial" w:cs="Arial"/>
          <w:sz w:val="20"/>
          <w:szCs w:val="20"/>
          <w:lang w:val="en"/>
        </w:rPr>
        <w:t xml:space="preserve"> of carbon per year, which agrees, within the uncertainty, with previous estimates</w:t>
      </w:r>
      <w:hyperlink r:id="rId126" w:anchor="ref6" w:tooltip="Beer, C. et al. Terrestrial gross carbon dioxide uptake: global distribution and covariation with climate. Science 329, 834–838 (2010)" w:history="1">
        <w:r>
          <w:rPr>
            <w:rStyle w:val="Hyperlink"/>
            <w:rFonts w:ascii="Arial" w:hAnsi="Arial" w:cs="Arial"/>
            <w:sz w:val="15"/>
            <w:szCs w:val="15"/>
            <w:vertAlign w:val="superscript"/>
            <w:lang w:val="en"/>
          </w:rPr>
          <w:t>6</w:t>
        </w:r>
      </w:hyperlink>
      <w:r>
        <w:rPr>
          <w:rFonts w:ascii="Arial" w:hAnsi="Arial" w:cs="Arial"/>
          <w:sz w:val="20"/>
          <w:szCs w:val="20"/>
          <w:lang w:val="en"/>
        </w:rPr>
        <w:t>. The dominance of transpiration water fluxes in continental evapotranspiration suggests that, from the point of view of water resource forecasting, climate model development should prioritize improvements in simulations of biological fluxes rather than physical (evaporation) fluxes.</w:t>
      </w:r>
    </w:p>
    <w:p w14:paraId="067791F1" w14:textId="3FA1D21E" w:rsidR="007439B5" w:rsidRDefault="006A24BB" w:rsidP="00FD025A">
      <w:pPr>
        <w:spacing w:before="100" w:beforeAutospacing="1" w:after="100" w:afterAutospacing="1" w:line="240" w:lineRule="auto"/>
        <w:rPr>
          <w:rFonts w:ascii="Arial" w:eastAsia="Times New Roman" w:hAnsi="Arial" w:cs="Arial"/>
          <w:sz w:val="20"/>
          <w:szCs w:val="20"/>
          <w:lang w:val="en" w:eastAsia="en-ZA"/>
        </w:rPr>
      </w:pPr>
      <w:hyperlink r:id="rId127" w:history="1">
        <w:r w:rsidRPr="008E005B">
          <w:rPr>
            <w:rStyle w:val="Hyperlink"/>
            <w:rFonts w:ascii="Arial" w:eastAsia="Times New Roman" w:hAnsi="Arial" w:cs="Arial"/>
            <w:sz w:val="20"/>
            <w:szCs w:val="20"/>
            <w:lang w:val="en" w:eastAsia="en-ZA"/>
          </w:rPr>
          <w:t>https://www.ncbi.nlm.nih.gov/m/pubmed/20935626/?i=4&amp;from=/23552893/related</w:t>
        </w:r>
      </w:hyperlink>
    </w:p>
    <w:p w14:paraId="4205D800" w14:textId="1C7E5DB2" w:rsidR="007439B5" w:rsidRDefault="007C4B6A" w:rsidP="00FD025A">
      <w:pPr>
        <w:spacing w:before="100" w:beforeAutospacing="1" w:after="100" w:afterAutospacing="1" w:line="240" w:lineRule="auto"/>
        <w:rPr>
          <w:rFonts w:ascii="Arial" w:eastAsia="Times New Roman" w:hAnsi="Arial" w:cs="Arial"/>
          <w:sz w:val="20"/>
          <w:szCs w:val="20"/>
          <w:lang w:val="en" w:eastAsia="en-ZA"/>
        </w:rPr>
      </w:pPr>
      <w:r w:rsidRPr="007C4B6A">
        <w:rPr>
          <w:rFonts w:cs="Arial"/>
          <w:szCs w:val="30"/>
        </w:rPr>
        <w:t>Recent decline in the global land evapotranspiration trend due to limited moisture supply.</w:t>
      </w:r>
    </w:p>
    <w:p w14:paraId="3DA0CDC2" w14:textId="77777777" w:rsidR="00466BD8" w:rsidRPr="00466BD8" w:rsidRDefault="00466BD8" w:rsidP="00466BD8">
      <w:pPr>
        <w:shd w:val="clear" w:color="auto" w:fill="FFFFFF"/>
        <w:spacing w:before="100" w:beforeAutospacing="1" w:after="0" w:line="360" w:lineRule="atLeast"/>
        <w:outlineLvl w:val="3"/>
        <w:rPr>
          <w:rFonts w:ascii="Helvetica" w:eastAsia="Times New Roman" w:hAnsi="Helvetica" w:cs="Arial"/>
          <w:b/>
          <w:bCs/>
          <w:color w:val="000000"/>
          <w:sz w:val="24"/>
          <w:szCs w:val="24"/>
          <w:lang w:eastAsia="en-ZA"/>
        </w:rPr>
      </w:pPr>
      <w:r w:rsidRPr="00466BD8">
        <w:rPr>
          <w:rFonts w:ascii="Helvetica" w:eastAsia="Times New Roman" w:hAnsi="Helvetica" w:cs="Arial"/>
          <w:b/>
          <w:bCs/>
          <w:color w:val="000000"/>
          <w:sz w:val="24"/>
          <w:szCs w:val="24"/>
          <w:lang w:eastAsia="en-ZA"/>
        </w:rPr>
        <w:t>Abstract</w:t>
      </w:r>
    </w:p>
    <w:p w14:paraId="5D025BB9" w14:textId="77777777" w:rsidR="00466BD8" w:rsidRPr="00466BD8" w:rsidRDefault="00466BD8" w:rsidP="00466BD8">
      <w:pPr>
        <w:shd w:val="clear" w:color="auto" w:fill="FFFFFF"/>
        <w:spacing w:after="120" w:line="360" w:lineRule="atLeast"/>
        <w:rPr>
          <w:rFonts w:ascii="Arial" w:eastAsia="Times New Roman" w:hAnsi="Arial" w:cs="Arial"/>
          <w:color w:val="272727"/>
          <w:sz w:val="24"/>
          <w:szCs w:val="24"/>
          <w:lang w:eastAsia="en-ZA"/>
        </w:rPr>
      </w:pPr>
      <w:r w:rsidRPr="00466BD8">
        <w:rPr>
          <w:rFonts w:ascii="Arial" w:eastAsia="Times New Roman" w:hAnsi="Arial" w:cs="Arial"/>
          <w:color w:val="272727"/>
          <w:sz w:val="24"/>
          <w:szCs w:val="24"/>
          <w:lang w:eastAsia="en-ZA"/>
        </w:rPr>
        <w:t xml:space="preserve">More than half of the solar energy absorbed by land surfaces is currently used to evaporate water. Climate change is expected to intensify the hydrological cycle and to alter evapotranspiration, with implications for ecosystem services and feedback to regional and global climate. Evapotranspiration changes may already be under way, but direct observational constraints are lacking at the global scale. Until such evidence is available, changes in the water cycle on land−a key diagnostic criterion of the effects of climate change and variability−remain uncertain. Here we provide a data-driven estimate of global land evapotranspiration from </w:t>
      </w:r>
      <w:r w:rsidRPr="00466BD8">
        <w:rPr>
          <w:rFonts w:ascii="Arial" w:eastAsia="Times New Roman" w:hAnsi="Arial" w:cs="Arial"/>
          <w:color w:val="272727"/>
          <w:sz w:val="24"/>
          <w:szCs w:val="24"/>
          <w:highlight w:val="yellow"/>
          <w:lang w:eastAsia="en-ZA"/>
        </w:rPr>
        <w:t>1982 to 2008</w:t>
      </w:r>
      <w:r w:rsidRPr="00466BD8">
        <w:rPr>
          <w:rFonts w:ascii="Arial" w:eastAsia="Times New Roman" w:hAnsi="Arial" w:cs="Arial"/>
          <w:color w:val="272727"/>
          <w:sz w:val="24"/>
          <w:szCs w:val="24"/>
          <w:lang w:eastAsia="en-ZA"/>
        </w:rPr>
        <w:t xml:space="preserve">, compiled using a global monitoring network, meteorological and remote-sensing observations, and a machine-learning algorithm. In addition, we have assessed evapotranspiration variations over the same time period using an ensemble of process-based land-surface models. </w:t>
      </w:r>
      <w:r w:rsidRPr="00466BD8">
        <w:rPr>
          <w:rFonts w:ascii="Arial" w:eastAsia="Times New Roman" w:hAnsi="Arial" w:cs="Arial"/>
          <w:color w:val="272727"/>
          <w:sz w:val="24"/>
          <w:szCs w:val="24"/>
          <w:highlight w:val="yellow"/>
          <w:lang w:eastAsia="en-ZA"/>
        </w:rPr>
        <w:t>Our results suggest that global annual evapotranspiration increased on average by 7.1 ± 1.0 millimetres per year per decade from 1982 to 1997</w:t>
      </w:r>
      <w:r w:rsidRPr="00466BD8">
        <w:rPr>
          <w:rFonts w:ascii="Arial" w:eastAsia="Times New Roman" w:hAnsi="Arial" w:cs="Arial"/>
          <w:color w:val="272727"/>
          <w:sz w:val="24"/>
          <w:szCs w:val="24"/>
          <w:lang w:eastAsia="en-ZA"/>
        </w:rPr>
        <w:t xml:space="preserve">. After that, </w:t>
      </w:r>
      <w:r w:rsidRPr="00466BD8">
        <w:rPr>
          <w:rFonts w:ascii="Arial" w:eastAsia="Times New Roman" w:hAnsi="Arial" w:cs="Arial"/>
          <w:color w:val="272727"/>
          <w:sz w:val="24"/>
          <w:szCs w:val="24"/>
          <w:highlight w:val="yellow"/>
          <w:lang w:eastAsia="en-ZA"/>
        </w:rPr>
        <w:t>coincident with the last major El Niño event in 1998, the global evapotranspiration increase seems to have ceased until 2008</w:t>
      </w:r>
      <w:r w:rsidRPr="00466BD8">
        <w:rPr>
          <w:rFonts w:ascii="Arial" w:eastAsia="Times New Roman" w:hAnsi="Arial" w:cs="Arial"/>
          <w:color w:val="272727"/>
          <w:sz w:val="24"/>
          <w:szCs w:val="24"/>
          <w:lang w:eastAsia="en-ZA"/>
        </w:rPr>
        <w:t xml:space="preserve">. This change was driven primarily by moisture limitation in the Southern Hemisphere, particularly Africa and Australia. In these regions, microwave satellite observations </w:t>
      </w:r>
      <w:r w:rsidRPr="00466BD8">
        <w:rPr>
          <w:rFonts w:ascii="Arial" w:eastAsia="Times New Roman" w:hAnsi="Arial" w:cs="Arial"/>
          <w:color w:val="272727"/>
          <w:sz w:val="24"/>
          <w:szCs w:val="24"/>
          <w:highlight w:val="yellow"/>
          <w:lang w:eastAsia="en-ZA"/>
        </w:rPr>
        <w:t>indicate that soil moisture decreased from 1998 to 2008</w:t>
      </w:r>
      <w:r w:rsidRPr="00466BD8">
        <w:rPr>
          <w:rFonts w:ascii="Arial" w:eastAsia="Times New Roman" w:hAnsi="Arial" w:cs="Arial"/>
          <w:color w:val="272727"/>
          <w:sz w:val="24"/>
          <w:szCs w:val="24"/>
          <w:lang w:eastAsia="en-ZA"/>
        </w:rPr>
        <w:t xml:space="preserve">. Hence, increasing soil-moisture limitations on evapotranspiration largely explain the recent decline of the global land-evapotranspiration trend. Whether the changing behaviour of evapotranspiration is </w:t>
      </w:r>
      <w:r w:rsidRPr="00466BD8">
        <w:rPr>
          <w:rFonts w:ascii="Arial" w:eastAsia="Times New Roman" w:hAnsi="Arial" w:cs="Arial"/>
          <w:color w:val="272727"/>
          <w:sz w:val="24"/>
          <w:szCs w:val="24"/>
          <w:highlight w:val="yellow"/>
          <w:lang w:eastAsia="en-ZA"/>
        </w:rPr>
        <w:t>representative of natural climate variability or reflects a more permanent reorganization of the land water cycle is a key question for earth system science</w:t>
      </w:r>
      <w:r w:rsidRPr="00466BD8">
        <w:rPr>
          <w:rFonts w:ascii="Arial" w:eastAsia="Times New Roman" w:hAnsi="Arial" w:cs="Arial"/>
          <w:color w:val="272727"/>
          <w:sz w:val="24"/>
          <w:szCs w:val="24"/>
          <w:lang w:eastAsia="en-ZA"/>
        </w:rPr>
        <w:t>.</w:t>
      </w:r>
    </w:p>
    <w:p w14:paraId="288C3AB7" w14:textId="43CB3100" w:rsidR="007439B5" w:rsidRDefault="007439B5" w:rsidP="00FD025A">
      <w:pPr>
        <w:spacing w:before="100" w:beforeAutospacing="1" w:after="100" w:afterAutospacing="1" w:line="240" w:lineRule="auto"/>
        <w:rPr>
          <w:rFonts w:ascii="Arial" w:eastAsia="Times New Roman" w:hAnsi="Arial" w:cs="Arial"/>
          <w:sz w:val="20"/>
          <w:szCs w:val="20"/>
          <w:lang w:val="en" w:eastAsia="en-ZA"/>
        </w:rPr>
      </w:pPr>
    </w:p>
    <w:p w14:paraId="6523B825" w14:textId="5F7812EF" w:rsidR="003C6923" w:rsidRDefault="003C6923" w:rsidP="00FD025A">
      <w:pPr>
        <w:spacing w:before="100" w:beforeAutospacing="1" w:after="100" w:afterAutospacing="1" w:line="240" w:lineRule="auto"/>
        <w:rPr>
          <w:rFonts w:ascii="Arial" w:eastAsia="Times New Roman" w:hAnsi="Arial" w:cs="Arial"/>
          <w:sz w:val="20"/>
          <w:szCs w:val="20"/>
          <w:lang w:val="en" w:eastAsia="en-ZA"/>
        </w:rPr>
      </w:pPr>
      <w:hyperlink r:id="rId128" w:history="1">
        <w:r w:rsidRPr="008E005B">
          <w:rPr>
            <w:rStyle w:val="Hyperlink"/>
            <w:rFonts w:ascii="Arial" w:eastAsia="Times New Roman" w:hAnsi="Arial" w:cs="Arial"/>
            <w:sz w:val="20"/>
            <w:szCs w:val="20"/>
            <w:lang w:val="en" w:eastAsia="en-ZA"/>
          </w:rPr>
          <w:t>https://www.sciencedirect.com/science/article/pii/S0022169411007487</w:t>
        </w:r>
      </w:hyperlink>
    </w:p>
    <w:p w14:paraId="2ABCF478" w14:textId="1B1C69D9" w:rsidR="00466BD8" w:rsidRDefault="00CE05DE" w:rsidP="00FD025A">
      <w:pPr>
        <w:spacing w:before="100" w:beforeAutospacing="1" w:after="100" w:afterAutospacing="1" w:line="240" w:lineRule="auto"/>
        <w:rPr>
          <w:rFonts w:ascii="Arial" w:eastAsia="Times New Roman" w:hAnsi="Arial" w:cs="Arial"/>
          <w:sz w:val="20"/>
          <w:szCs w:val="20"/>
          <w:lang w:val="en" w:eastAsia="en-ZA"/>
        </w:rPr>
      </w:pPr>
      <w:r w:rsidRPr="00CE05DE">
        <w:rPr>
          <w:rFonts w:ascii="Arial" w:eastAsia="Times New Roman" w:hAnsi="Arial" w:cs="Arial"/>
          <w:sz w:val="20"/>
          <w:szCs w:val="20"/>
          <w:lang w:val="en" w:eastAsia="en-ZA"/>
        </w:rPr>
        <w:t>Global review and synthesis of trends in observed terrestrial near-surface wind speeds: Implications for evaporation</w:t>
      </w:r>
    </w:p>
    <w:p w14:paraId="0A306B09" w14:textId="77777777" w:rsidR="00334C32" w:rsidRDefault="00334C32" w:rsidP="00334C32">
      <w:pPr>
        <w:pStyle w:val="Heading2"/>
        <w:rPr>
          <w:rFonts w:ascii="Arial" w:hAnsi="Arial" w:cs="Arial"/>
          <w:lang w:val="en"/>
        </w:rPr>
      </w:pPr>
      <w:r>
        <w:rPr>
          <w:rFonts w:ascii="Arial" w:hAnsi="Arial" w:cs="Arial"/>
          <w:lang w:val="en"/>
        </w:rPr>
        <w:t>Summary</w:t>
      </w:r>
    </w:p>
    <w:p w14:paraId="7E86EB84" w14:textId="77777777" w:rsidR="00334C32" w:rsidRDefault="00334C32" w:rsidP="00334C32">
      <w:pPr>
        <w:spacing w:after="240" w:line="360" w:lineRule="auto"/>
        <w:rPr>
          <w:rFonts w:ascii="Arial" w:hAnsi="Arial" w:cs="Arial"/>
          <w:color w:val="505050"/>
          <w:lang w:val="en"/>
        </w:rPr>
      </w:pPr>
      <w:r>
        <w:rPr>
          <w:rFonts w:ascii="Arial" w:hAnsi="Arial" w:cs="Arial"/>
          <w:color w:val="505050"/>
          <w:lang w:val="en"/>
        </w:rPr>
        <w:t>In a globally warming climate, observed rates of atmospheric evaporative demand have declined over recent decades. Several recent studies have shown that declining rates of evaporative demand are primarily governed by trends in the aerodynamic component (primarily being the combination of the effects of wind speed (</w:t>
      </w:r>
      <w:r>
        <w:rPr>
          <w:rStyle w:val="Emphasis"/>
          <w:rFonts w:ascii="Arial" w:hAnsi="Arial" w:cs="Arial"/>
          <w:color w:val="505050"/>
          <w:lang w:val="en"/>
        </w:rPr>
        <w:t>u</w:t>
      </w:r>
      <w:r>
        <w:rPr>
          <w:rFonts w:ascii="Arial" w:hAnsi="Arial" w:cs="Arial"/>
          <w:color w:val="505050"/>
          <w:lang w:val="en"/>
        </w:rPr>
        <w:t xml:space="preserve">) and atmospheric humidity) and secondarily by changes in the radiative component. A number of these studies also </w:t>
      </w:r>
      <w:r>
        <w:rPr>
          <w:rFonts w:ascii="Arial" w:hAnsi="Arial" w:cs="Arial"/>
          <w:color w:val="505050"/>
          <w:lang w:val="en"/>
        </w:rPr>
        <w:lastRenderedPageBreak/>
        <w:t xml:space="preserve">show that declining rates of observed near-surface </w:t>
      </w:r>
      <w:r>
        <w:rPr>
          <w:rStyle w:val="Emphasis"/>
          <w:rFonts w:ascii="Arial" w:hAnsi="Arial" w:cs="Arial"/>
          <w:color w:val="505050"/>
          <w:lang w:val="en"/>
        </w:rPr>
        <w:t>u</w:t>
      </w:r>
      <w:r>
        <w:rPr>
          <w:rFonts w:ascii="Arial" w:hAnsi="Arial" w:cs="Arial"/>
          <w:color w:val="505050"/>
          <w:lang w:val="en"/>
        </w:rPr>
        <w:t xml:space="preserve"> (termed ‘stilling’) is the primary factor contributing to declining rates of evaporative demand. One objective of this paper was to review and </w:t>
      </w:r>
      <w:proofErr w:type="spellStart"/>
      <w:r>
        <w:rPr>
          <w:rFonts w:ascii="Arial" w:hAnsi="Arial" w:cs="Arial"/>
          <w:color w:val="505050"/>
          <w:lang w:val="en"/>
        </w:rPr>
        <w:t>synthesise</w:t>
      </w:r>
      <w:proofErr w:type="spellEnd"/>
      <w:r>
        <w:rPr>
          <w:rFonts w:ascii="Arial" w:hAnsi="Arial" w:cs="Arial"/>
          <w:color w:val="505050"/>
          <w:lang w:val="en"/>
        </w:rPr>
        <w:t xml:space="preserve"> the literature to assess whether stilling is a globally widespread phenomenon. We </w:t>
      </w:r>
      <w:proofErr w:type="spellStart"/>
      <w:r>
        <w:rPr>
          <w:rFonts w:ascii="Arial" w:hAnsi="Arial" w:cs="Arial"/>
          <w:color w:val="505050"/>
          <w:lang w:val="en"/>
        </w:rPr>
        <w:t>analysed</w:t>
      </w:r>
      <w:proofErr w:type="spellEnd"/>
      <w:r>
        <w:rPr>
          <w:rFonts w:ascii="Arial" w:hAnsi="Arial" w:cs="Arial"/>
          <w:color w:val="505050"/>
          <w:lang w:val="en"/>
        </w:rPr>
        <w:t xml:space="preserve"> 148 studies reporting terrestrial </w:t>
      </w:r>
      <w:r>
        <w:rPr>
          <w:rStyle w:val="Emphasis"/>
          <w:rFonts w:ascii="Arial" w:hAnsi="Arial" w:cs="Arial"/>
          <w:color w:val="505050"/>
          <w:lang w:val="en"/>
        </w:rPr>
        <w:t>u</w:t>
      </w:r>
      <w:r>
        <w:rPr>
          <w:rFonts w:ascii="Arial" w:hAnsi="Arial" w:cs="Arial"/>
          <w:color w:val="505050"/>
          <w:lang w:val="en"/>
        </w:rPr>
        <w:t xml:space="preserve"> trends from across the globe (with uneven and incomplete spatial distribution and differing periods of measurement) and found that the average trend was −0.014 m s</w:t>
      </w:r>
      <w:r>
        <w:rPr>
          <w:rFonts w:ascii="Arial" w:hAnsi="Arial" w:cs="Arial"/>
          <w:color w:val="505050"/>
          <w:sz w:val="18"/>
          <w:szCs w:val="18"/>
          <w:vertAlign w:val="superscript"/>
          <w:lang w:val="en"/>
        </w:rPr>
        <w:t>−1</w:t>
      </w:r>
      <w:r>
        <w:rPr>
          <w:rFonts w:ascii="Arial" w:hAnsi="Arial" w:cs="Arial"/>
          <w:color w:val="505050"/>
          <w:lang w:val="en"/>
        </w:rPr>
        <w:t> a</w:t>
      </w:r>
      <w:r>
        <w:rPr>
          <w:rFonts w:ascii="Arial" w:hAnsi="Arial" w:cs="Arial"/>
          <w:color w:val="505050"/>
          <w:sz w:val="18"/>
          <w:szCs w:val="18"/>
          <w:vertAlign w:val="superscript"/>
          <w:lang w:val="en"/>
        </w:rPr>
        <w:t>−1</w:t>
      </w:r>
      <w:r>
        <w:rPr>
          <w:rFonts w:ascii="Arial" w:hAnsi="Arial" w:cs="Arial"/>
          <w:color w:val="505050"/>
          <w:lang w:val="en"/>
        </w:rPr>
        <w:t xml:space="preserve"> for studies with more than 30 sites observing data for more than 30 years, which confirmed that stilling was widespread. Assuming a linear trend this constitutes a −0.7 m s</w:t>
      </w:r>
      <w:r>
        <w:rPr>
          <w:rFonts w:ascii="Arial" w:hAnsi="Arial" w:cs="Arial"/>
          <w:color w:val="505050"/>
          <w:sz w:val="18"/>
          <w:szCs w:val="18"/>
          <w:vertAlign w:val="superscript"/>
          <w:lang w:val="en"/>
        </w:rPr>
        <w:t>−1</w:t>
      </w:r>
      <w:r>
        <w:rPr>
          <w:rFonts w:ascii="Arial" w:hAnsi="Arial" w:cs="Arial"/>
          <w:color w:val="505050"/>
          <w:lang w:val="en"/>
        </w:rPr>
        <w:t xml:space="preserve"> change in </w:t>
      </w:r>
      <w:r>
        <w:rPr>
          <w:rStyle w:val="Emphasis"/>
          <w:rFonts w:ascii="Arial" w:hAnsi="Arial" w:cs="Arial"/>
          <w:color w:val="505050"/>
          <w:lang w:val="en"/>
        </w:rPr>
        <w:t>u</w:t>
      </w:r>
      <w:r>
        <w:rPr>
          <w:rFonts w:ascii="Arial" w:hAnsi="Arial" w:cs="Arial"/>
          <w:color w:val="505050"/>
          <w:lang w:val="en"/>
        </w:rPr>
        <w:t xml:space="preserve"> over 50 years. A second objective was to confirm the declining rates of evaporative demand by reviewing papers reporting trends in measured pan evaporation (</w:t>
      </w:r>
      <w:proofErr w:type="spellStart"/>
      <w:r>
        <w:rPr>
          <w:rStyle w:val="Emphasis"/>
          <w:rFonts w:ascii="Arial" w:hAnsi="Arial" w:cs="Arial"/>
          <w:color w:val="505050"/>
          <w:lang w:val="en"/>
        </w:rPr>
        <w:t>E</w:t>
      </w:r>
      <w:r>
        <w:rPr>
          <w:rFonts w:ascii="Arial" w:hAnsi="Arial" w:cs="Arial"/>
          <w:color w:val="505050"/>
          <w:sz w:val="18"/>
          <w:szCs w:val="18"/>
          <w:vertAlign w:val="subscript"/>
          <w:lang w:val="en"/>
        </w:rPr>
        <w:t>pan</w:t>
      </w:r>
      <w:proofErr w:type="spellEnd"/>
      <w:r>
        <w:rPr>
          <w:rFonts w:ascii="Arial" w:hAnsi="Arial" w:cs="Arial"/>
          <w:color w:val="505050"/>
          <w:lang w:val="en"/>
        </w:rPr>
        <w:t>) and estimated crop reference evapotranspiration (</w:t>
      </w:r>
      <w:proofErr w:type="spellStart"/>
      <w:r>
        <w:rPr>
          <w:rStyle w:val="Emphasis"/>
          <w:rFonts w:ascii="Arial" w:hAnsi="Arial" w:cs="Arial"/>
          <w:color w:val="505050"/>
          <w:lang w:val="en"/>
        </w:rPr>
        <w:t>ET</w:t>
      </w:r>
      <w:r>
        <w:rPr>
          <w:rFonts w:ascii="Arial" w:hAnsi="Arial" w:cs="Arial"/>
          <w:color w:val="505050"/>
          <w:sz w:val="18"/>
          <w:szCs w:val="18"/>
          <w:vertAlign w:val="subscript"/>
          <w:lang w:val="en"/>
        </w:rPr>
        <w:t>o</w:t>
      </w:r>
      <w:proofErr w:type="spellEnd"/>
      <w:r>
        <w:rPr>
          <w:rFonts w:ascii="Arial" w:hAnsi="Arial" w:cs="Arial"/>
          <w:color w:val="505050"/>
          <w:lang w:val="en"/>
        </w:rPr>
        <w:t>); average trends were −3.19 mm a</w:t>
      </w:r>
      <w:r>
        <w:rPr>
          <w:rFonts w:ascii="Arial" w:hAnsi="Arial" w:cs="Arial"/>
          <w:color w:val="505050"/>
          <w:sz w:val="18"/>
          <w:szCs w:val="18"/>
          <w:vertAlign w:val="superscript"/>
          <w:lang w:val="en"/>
        </w:rPr>
        <w:t>−2</w:t>
      </w:r>
      <w:r>
        <w:rPr>
          <w:rFonts w:ascii="Arial" w:hAnsi="Arial" w:cs="Arial"/>
          <w:color w:val="505050"/>
          <w:lang w:val="en"/>
        </w:rPr>
        <w:t xml:space="preserve"> (</w:t>
      </w:r>
      <w:r>
        <w:rPr>
          <w:rStyle w:val="Emphasis"/>
          <w:rFonts w:ascii="Arial" w:hAnsi="Arial" w:cs="Arial"/>
          <w:color w:val="505050"/>
          <w:lang w:val="en"/>
        </w:rPr>
        <w:t>n</w:t>
      </w:r>
      <w:r>
        <w:rPr>
          <w:rFonts w:ascii="Arial" w:hAnsi="Arial" w:cs="Arial"/>
          <w:color w:val="505050"/>
          <w:lang w:val="en"/>
        </w:rPr>
        <w:t> = 55) and −1.31 mm a</w:t>
      </w:r>
      <w:r>
        <w:rPr>
          <w:rFonts w:ascii="Arial" w:hAnsi="Arial" w:cs="Arial"/>
          <w:color w:val="505050"/>
          <w:sz w:val="18"/>
          <w:szCs w:val="18"/>
          <w:vertAlign w:val="superscript"/>
          <w:lang w:val="en"/>
        </w:rPr>
        <w:t>−2</w:t>
      </w:r>
      <w:r>
        <w:rPr>
          <w:rFonts w:ascii="Arial" w:hAnsi="Arial" w:cs="Arial"/>
          <w:color w:val="505050"/>
          <w:lang w:val="en"/>
        </w:rPr>
        <w:t xml:space="preserve"> (</w:t>
      </w:r>
      <w:r>
        <w:rPr>
          <w:rStyle w:val="Emphasis"/>
          <w:rFonts w:ascii="Arial" w:hAnsi="Arial" w:cs="Arial"/>
          <w:color w:val="505050"/>
          <w:lang w:val="en"/>
        </w:rPr>
        <w:t>n</w:t>
      </w:r>
      <w:r>
        <w:rPr>
          <w:rFonts w:ascii="Arial" w:hAnsi="Arial" w:cs="Arial"/>
          <w:color w:val="505050"/>
          <w:lang w:val="en"/>
        </w:rPr>
        <w:t xml:space="preserve"> = 26), respectively. A third objective was to assess the contribution to evaporative demand trends that the four primary meteorological variables (being </w:t>
      </w:r>
      <w:r>
        <w:rPr>
          <w:rStyle w:val="Emphasis"/>
          <w:rFonts w:ascii="Arial" w:hAnsi="Arial" w:cs="Arial"/>
          <w:color w:val="505050"/>
          <w:lang w:val="en"/>
        </w:rPr>
        <w:t>u</w:t>
      </w:r>
      <w:r>
        <w:rPr>
          <w:rFonts w:ascii="Arial" w:hAnsi="Arial" w:cs="Arial"/>
          <w:color w:val="505050"/>
          <w:lang w:val="en"/>
        </w:rPr>
        <w:t xml:space="preserve">; atmospheric humidity; radiation; and air temperature) made. </w:t>
      </w:r>
      <w:r w:rsidRPr="005D3776">
        <w:rPr>
          <w:rFonts w:ascii="Arial" w:hAnsi="Arial" w:cs="Arial"/>
          <w:color w:val="505050"/>
          <w:highlight w:val="yellow"/>
          <w:lang w:val="en"/>
        </w:rPr>
        <w:t xml:space="preserve">The results from 36 studies highlighted the importance of </w:t>
      </w:r>
      <w:r w:rsidRPr="005D3776">
        <w:rPr>
          <w:rStyle w:val="Emphasis"/>
          <w:rFonts w:ascii="Arial" w:hAnsi="Arial" w:cs="Arial"/>
          <w:color w:val="505050"/>
          <w:highlight w:val="yellow"/>
          <w:lang w:val="en"/>
        </w:rPr>
        <w:t>u</w:t>
      </w:r>
      <w:r w:rsidRPr="005D3776">
        <w:rPr>
          <w:rFonts w:ascii="Arial" w:hAnsi="Arial" w:cs="Arial"/>
          <w:color w:val="505050"/>
          <w:highlight w:val="yellow"/>
          <w:lang w:val="en"/>
        </w:rPr>
        <w:t xml:space="preserve"> trends</w:t>
      </w:r>
      <w:r>
        <w:rPr>
          <w:rFonts w:ascii="Arial" w:hAnsi="Arial" w:cs="Arial"/>
          <w:color w:val="505050"/>
          <w:lang w:val="en"/>
        </w:rPr>
        <w:t xml:space="preserve">. We also quantified the sensitivity of rates of evaporative demand to changes in </w:t>
      </w:r>
      <w:r>
        <w:rPr>
          <w:rStyle w:val="Emphasis"/>
          <w:rFonts w:ascii="Arial" w:hAnsi="Arial" w:cs="Arial"/>
          <w:color w:val="505050"/>
          <w:lang w:val="en"/>
        </w:rPr>
        <w:t>u</w:t>
      </w:r>
      <w:r>
        <w:rPr>
          <w:rFonts w:ascii="Arial" w:hAnsi="Arial" w:cs="Arial"/>
          <w:color w:val="505050"/>
          <w:lang w:val="en"/>
        </w:rPr>
        <w:t xml:space="preserve"> and how the relative contributions of the aerodynamic and radiative components change seasonally over the globe. Our review: (</w:t>
      </w:r>
      <w:proofErr w:type="spellStart"/>
      <w:r>
        <w:rPr>
          <w:rFonts w:ascii="Arial" w:hAnsi="Arial" w:cs="Arial"/>
          <w:color w:val="505050"/>
          <w:lang w:val="en"/>
        </w:rPr>
        <w:t>i</w:t>
      </w:r>
      <w:proofErr w:type="spellEnd"/>
      <w:r>
        <w:rPr>
          <w:rFonts w:ascii="Arial" w:hAnsi="Arial" w:cs="Arial"/>
          <w:color w:val="505050"/>
          <w:lang w:val="en"/>
        </w:rPr>
        <w:t xml:space="preserve">) shows that terrestrial stilling is widespread across the globe; (ii) </w:t>
      </w:r>
      <w:r w:rsidRPr="005D3776">
        <w:rPr>
          <w:rFonts w:ascii="Arial" w:hAnsi="Arial" w:cs="Arial"/>
          <w:color w:val="505050"/>
          <w:highlight w:val="yellow"/>
          <w:lang w:val="en"/>
        </w:rPr>
        <w:t>confirms declining rates of evaporative demand</w:t>
      </w:r>
      <w:r>
        <w:rPr>
          <w:rFonts w:ascii="Arial" w:hAnsi="Arial" w:cs="Arial"/>
          <w:color w:val="505050"/>
          <w:lang w:val="en"/>
        </w:rPr>
        <w:t xml:space="preserve">; and (iii) </w:t>
      </w:r>
      <w:r w:rsidRPr="00AD2322">
        <w:rPr>
          <w:rFonts w:ascii="Arial" w:hAnsi="Arial" w:cs="Arial"/>
          <w:color w:val="505050"/>
          <w:highlight w:val="yellow"/>
          <w:lang w:val="en"/>
        </w:rPr>
        <w:t xml:space="preserve">highlights the contribution </w:t>
      </w:r>
      <w:r w:rsidRPr="00AD2322">
        <w:rPr>
          <w:rStyle w:val="Emphasis"/>
          <w:rFonts w:ascii="Arial" w:hAnsi="Arial" w:cs="Arial"/>
          <w:color w:val="505050"/>
          <w:highlight w:val="yellow"/>
          <w:lang w:val="en"/>
        </w:rPr>
        <w:t>u</w:t>
      </w:r>
      <w:r w:rsidRPr="00AD2322">
        <w:rPr>
          <w:rFonts w:ascii="Arial" w:hAnsi="Arial" w:cs="Arial"/>
          <w:color w:val="505050"/>
          <w:highlight w:val="yellow"/>
          <w:lang w:val="en"/>
        </w:rPr>
        <w:t xml:space="preserve"> has made to these declining evaporative rates</w:t>
      </w:r>
      <w:r>
        <w:rPr>
          <w:rFonts w:ascii="Arial" w:hAnsi="Arial" w:cs="Arial"/>
          <w:color w:val="505050"/>
          <w:lang w:val="en"/>
        </w:rPr>
        <w:t xml:space="preserve">. </w:t>
      </w:r>
      <w:proofErr w:type="gramStart"/>
      <w:r>
        <w:rPr>
          <w:rFonts w:ascii="Arial" w:hAnsi="Arial" w:cs="Arial"/>
          <w:color w:val="505050"/>
          <w:lang w:val="en"/>
        </w:rPr>
        <w:t>Hence</w:t>
      </w:r>
      <w:proofErr w:type="gramEnd"/>
      <w:r>
        <w:rPr>
          <w:rFonts w:ascii="Arial" w:hAnsi="Arial" w:cs="Arial"/>
          <w:color w:val="505050"/>
          <w:lang w:val="en"/>
        </w:rPr>
        <w:t xml:space="preserve"> we advocate that assessing evaporative demand trends requires consideration of all four primary meteorological variables (</w:t>
      </w:r>
      <w:r w:rsidRPr="00AD2322">
        <w:rPr>
          <w:rFonts w:ascii="Arial" w:hAnsi="Arial" w:cs="Arial"/>
          <w:color w:val="505050"/>
          <w:highlight w:val="yellow"/>
          <w:lang w:val="en"/>
        </w:rPr>
        <w:t xml:space="preserve">being </w:t>
      </w:r>
      <w:r w:rsidRPr="00AD2322">
        <w:rPr>
          <w:rStyle w:val="Emphasis"/>
          <w:rFonts w:ascii="Arial" w:hAnsi="Arial" w:cs="Arial"/>
          <w:color w:val="505050"/>
          <w:highlight w:val="yellow"/>
          <w:lang w:val="en"/>
        </w:rPr>
        <w:t>u</w:t>
      </w:r>
      <w:r w:rsidRPr="00AD2322">
        <w:rPr>
          <w:rFonts w:ascii="Arial" w:hAnsi="Arial" w:cs="Arial"/>
          <w:color w:val="505050"/>
          <w:highlight w:val="yellow"/>
          <w:lang w:val="en"/>
        </w:rPr>
        <w:t>, atmospheric humidity, radiation and air temperature</w:t>
      </w:r>
      <w:r>
        <w:rPr>
          <w:rFonts w:ascii="Arial" w:hAnsi="Arial" w:cs="Arial"/>
          <w:color w:val="505050"/>
          <w:lang w:val="en"/>
        </w:rPr>
        <w:t xml:space="preserve">). This is particularly relevant for long-term water resource assessment because changes in </w:t>
      </w:r>
      <w:r>
        <w:rPr>
          <w:rStyle w:val="Emphasis"/>
          <w:rFonts w:ascii="Arial" w:hAnsi="Arial" w:cs="Arial"/>
          <w:color w:val="505050"/>
          <w:lang w:val="en"/>
        </w:rPr>
        <w:t>u</w:t>
      </w:r>
      <w:r>
        <w:rPr>
          <w:rFonts w:ascii="Arial" w:hAnsi="Arial" w:cs="Arial"/>
          <w:color w:val="505050"/>
          <w:lang w:val="en"/>
        </w:rPr>
        <w:t xml:space="preserve"> exert greater influence on energy-limited water-yielding catchments than water-limited ones.</w:t>
      </w:r>
    </w:p>
    <w:p w14:paraId="19063073" w14:textId="77777777" w:rsidR="00334C32" w:rsidRDefault="00334C32" w:rsidP="00334C32">
      <w:pPr>
        <w:pStyle w:val="Heading3"/>
        <w:rPr>
          <w:rFonts w:ascii="Arial" w:hAnsi="Arial" w:cs="Arial"/>
          <w:color w:val="505050"/>
          <w:lang w:val="en"/>
        </w:rPr>
      </w:pPr>
      <w:r>
        <w:rPr>
          <w:rFonts w:ascii="Arial" w:hAnsi="Arial" w:cs="Arial"/>
          <w:color w:val="505050"/>
          <w:lang w:val="en"/>
        </w:rPr>
        <w:t>Graphical abstract</w:t>
      </w:r>
    </w:p>
    <w:p w14:paraId="1D7D6B3E" w14:textId="415166DD" w:rsidR="00334C32" w:rsidRDefault="00334C32" w:rsidP="00334C32">
      <w:pPr>
        <w:spacing w:after="240" w:line="360" w:lineRule="auto"/>
        <w:rPr>
          <w:rStyle w:val="display2"/>
        </w:rPr>
      </w:pPr>
      <w:r>
        <w:rPr>
          <w:rFonts w:ascii="Arial" w:hAnsi="Arial" w:cs="Arial"/>
          <w:noProof/>
          <w:color w:val="505050"/>
          <w:lang w:val="en"/>
        </w:rPr>
        <w:drawing>
          <wp:inline distT="0" distB="0" distL="0" distR="0" wp14:anchorId="1FD003D9" wp14:editId="6F8AF7CD">
            <wp:extent cx="4106545" cy="1905000"/>
            <wp:effectExtent l="0" t="0" r="8255" b="0"/>
            <wp:docPr id="9" name="Picture 9" descr="https://ars.els-cdn.com/content/image/1-s2.0-S0022169411007487-fx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rs.els-cdn.com/content/image/1-s2.0-S0022169411007487-fx1.jpg"/>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4106545" cy="1905000"/>
                    </a:xfrm>
                    <a:prstGeom prst="rect">
                      <a:avLst/>
                    </a:prstGeom>
                    <a:noFill/>
                    <a:ln>
                      <a:noFill/>
                    </a:ln>
                  </pic:spPr>
                </pic:pic>
              </a:graphicData>
            </a:graphic>
          </wp:inline>
        </w:drawing>
      </w:r>
    </w:p>
    <w:p w14:paraId="6F87FD97" w14:textId="77777777" w:rsidR="00334C32" w:rsidRDefault="00334C32" w:rsidP="00334C32">
      <w:pPr>
        <w:numPr>
          <w:ilvl w:val="0"/>
          <w:numId w:val="8"/>
        </w:numPr>
        <w:spacing w:before="100" w:beforeAutospacing="1" w:after="100" w:afterAutospacing="1" w:line="360" w:lineRule="auto"/>
        <w:ind w:left="0"/>
      </w:pPr>
      <w:hyperlink r:id="rId130" w:tgtFrame="_blank" w:tooltip="Download full-size image" w:history="1">
        <w:r>
          <w:rPr>
            <w:rStyle w:val="anchor-text"/>
            <w:rFonts w:ascii="Arial" w:hAnsi="Arial" w:cs="Arial"/>
            <w:color w:val="007398"/>
            <w:lang w:val="en"/>
          </w:rPr>
          <w:t>Download full-size image</w:t>
        </w:r>
      </w:hyperlink>
    </w:p>
    <w:p w14:paraId="4F18826A" w14:textId="77777777" w:rsidR="00334C32" w:rsidRDefault="00334C32" w:rsidP="00334C32">
      <w:pPr>
        <w:pStyle w:val="Heading3"/>
        <w:rPr>
          <w:rFonts w:ascii="Arial" w:hAnsi="Arial" w:cs="Arial"/>
          <w:color w:val="505050"/>
          <w:lang w:val="en"/>
        </w:rPr>
      </w:pPr>
      <w:r>
        <w:rPr>
          <w:rFonts w:ascii="Arial" w:hAnsi="Arial" w:cs="Arial"/>
          <w:color w:val="505050"/>
          <w:lang w:val="en"/>
        </w:rPr>
        <w:lastRenderedPageBreak/>
        <w:t>Highlights</w:t>
      </w:r>
    </w:p>
    <w:p w14:paraId="7A500062" w14:textId="77777777" w:rsidR="00334C32" w:rsidRDefault="00334C32" w:rsidP="00334C32">
      <w:pPr>
        <w:spacing w:after="240" w:line="360" w:lineRule="auto"/>
        <w:rPr>
          <w:rFonts w:ascii="Arial" w:hAnsi="Arial" w:cs="Arial"/>
          <w:color w:val="505050"/>
          <w:lang w:val="en"/>
        </w:rPr>
      </w:pPr>
      <w:r>
        <w:rPr>
          <w:rFonts w:ascii="Arial" w:hAnsi="Arial" w:cs="Arial"/>
          <w:color w:val="505050"/>
          <w:lang w:val="en"/>
        </w:rPr>
        <w:t xml:space="preserve">► Globally 148 regional studies reviewed; </w:t>
      </w:r>
      <w:r w:rsidRPr="00597540">
        <w:rPr>
          <w:rFonts w:ascii="Arial" w:hAnsi="Arial" w:cs="Arial"/>
          <w:color w:val="505050"/>
          <w:highlight w:val="yellow"/>
          <w:lang w:val="en"/>
        </w:rPr>
        <w:t>average wind speed trend = </w:t>
      </w:r>
      <w:r w:rsidRPr="00597540">
        <w:rPr>
          <w:rFonts w:ascii="Cambria Math" w:hAnsi="Cambria Math" w:cs="Cambria Math"/>
          <w:color w:val="505050"/>
          <w:highlight w:val="yellow"/>
          <w:lang w:val="en"/>
        </w:rPr>
        <w:t>∼</w:t>
      </w:r>
      <w:r w:rsidRPr="00597540">
        <w:rPr>
          <w:rFonts w:ascii="Arial" w:hAnsi="Arial" w:cs="Arial"/>
          <w:color w:val="505050"/>
          <w:highlight w:val="yellow"/>
          <w:lang w:val="en"/>
        </w:rPr>
        <w:t>−0.014 m s</w:t>
      </w:r>
      <w:r w:rsidRPr="00597540">
        <w:rPr>
          <w:rFonts w:ascii="Arial" w:hAnsi="Arial" w:cs="Arial"/>
          <w:color w:val="505050"/>
          <w:sz w:val="18"/>
          <w:szCs w:val="18"/>
          <w:highlight w:val="yellow"/>
          <w:vertAlign w:val="superscript"/>
          <w:lang w:val="en"/>
        </w:rPr>
        <w:t>−1</w:t>
      </w:r>
      <w:r w:rsidRPr="00597540">
        <w:rPr>
          <w:rFonts w:ascii="Arial" w:hAnsi="Arial" w:cs="Arial"/>
          <w:color w:val="505050"/>
          <w:highlight w:val="yellow"/>
          <w:lang w:val="en"/>
        </w:rPr>
        <w:t> a</w:t>
      </w:r>
      <w:r w:rsidRPr="00597540">
        <w:rPr>
          <w:rFonts w:ascii="Arial" w:hAnsi="Arial" w:cs="Arial"/>
          <w:color w:val="505050"/>
          <w:sz w:val="18"/>
          <w:szCs w:val="18"/>
          <w:highlight w:val="yellow"/>
          <w:vertAlign w:val="superscript"/>
          <w:lang w:val="en"/>
        </w:rPr>
        <w:t>−1</w:t>
      </w:r>
      <w:r w:rsidRPr="00597540">
        <w:rPr>
          <w:rFonts w:ascii="Arial" w:hAnsi="Arial" w:cs="Arial"/>
          <w:color w:val="505050"/>
          <w:highlight w:val="yellow"/>
          <w:lang w:val="en"/>
        </w:rPr>
        <w:t>.</w:t>
      </w:r>
      <w:r>
        <w:rPr>
          <w:rFonts w:ascii="Arial" w:hAnsi="Arial" w:cs="Arial"/>
          <w:color w:val="505050"/>
          <w:lang w:val="en"/>
        </w:rPr>
        <w:t xml:space="preserve"> ► Globally 55 pan evaporation studies were reviewed; </w:t>
      </w:r>
      <w:r w:rsidRPr="00597540">
        <w:rPr>
          <w:rFonts w:ascii="Arial" w:hAnsi="Arial" w:cs="Arial"/>
          <w:color w:val="505050"/>
          <w:highlight w:val="yellow"/>
          <w:lang w:val="en"/>
        </w:rPr>
        <w:t>average trend = −3.19 mm a</w:t>
      </w:r>
      <w:r w:rsidRPr="00597540">
        <w:rPr>
          <w:rFonts w:ascii="Arial" w:hAnsi="Arial" w:cs="Arial"/>
          <w:color w:val="505050"/>
          <w:sz w:val="18"/>
          <w:szCs w:val="18"/>
          <w:highlight w:val="yellow"/>
          <w:vertAlign w:val="superscript"/>
          <w:lang w:val="en"/>
        </w:rPr>
        <w:t>−2</w:t>
      </w:r>
      <w:r>
        <w:rPr>
          <w:rFonts w:ascii="Arial" w:hAnsi="Arial" w:cs="Arial"/>
          <w:color w:val="505050"/>
          <w:lang w:val="en"/>
        </w:rPr>
        <w:t xml:space="preserve">. ► Twenty-six crop reference </w:t>
      </w:r>
      <w:hyperlink r:id="rId131" w:tooltip="Learn more about Evapotranspiration" w:history="1">
        <w:r>
          <w:rPr>
            <w:rStyle w:val="Hyperlink"/>
            <w:rFonts w:ascii="Arial" w:hAnsi="Arial" w:cs="Arial"/>
            <w:lang w:val="en"/>
          </w:rPr>
          <w:t>evapotranspiration</w:t>
        </w:r>
      </w:hyperlink>
      <w:r>
        <w:rPr>
          <w:rFonts w:ascii="Arial" w:hAnsi="Arial" w:cs="Arial"/>
          <w:color w:val="505050"/>
          <w:lang w:val="en"/>
        </w:rPr>
        <w:t xml:space="preserve"> studies reviewed; average trend = −1.31 mm a</w:t>
      </w:r>
      <w:r>
        <w:rPr>
          <w:rFonts w:ascii="Arial" w:hAnsi="Arial" w:cs="Arial"/>
          <w:color w:val="505050"/>
          <w:sz w:val="18"/>
          <w:szCs w:val="18"/>
          <w:vertAlign w:val="superscript"/>
          <w:lang w:val="en"/>
        </w:rPr>
        <w:t>−2</w:t>
      </w:r>
      <w:r>
        <w:rPr>
          <w:rFonts w:ascii="Arial" w:hAnsi="Arial" w:cs="Arial"/>
          <w:color w:val="505050"/>
          <w:lang w:val="en"/>
        </w:rPr>
        <w:t xml:space="preserve">. ► Globally 36 studies confirmed wind speed importance when assessing evaporation trends. ► Influence of wind speeds trends on actual evaporation depends </w:t>
      </w:r>
      <w:r w:rsidRPr="000C29B0">
        <w:rPr>
          <w:rFonts w:ascii="Arial" w:hAnsi="Arial" w:cs="Arial"/>
          <w:color w:val="505050"/>
          <w:highlight w:val="yellow"/>
          <w:lang w:val="en"/>
        </w:rPr>
        <w:t xml:space="preserve">on </w:t>
      </w:r>
      <w:hyperlink r:id="rId132" w:tooltip="Learn more about limiting factor" w:history="1">
        <w:r w:rsidRPr="000C29B0">
          <w:rPr>
            <w:rStyle w:val="Hyperlink"/>
            <w:rFonts w:ascii="Arial" w:hAnsi="Arial" w:cs="Arial"/>
            <w:highlight w:val="yellow"/>
            <w:lang w:val="en"/>
          </w:rPr>
          <w:t>limiting factor</w:t>
        </w:r>
      </w:hyperlink>
      <w:bookmarkStart w:id="1" w:name="_GoBack"/>
      <w:bookmarkEnd w:id="1"/>
      <w:r>
        <w:rPr>
          <w:rFonts w:ascii="Arial" w:hAnsi="Arial" w:cs="Arial"/>
          <w:color w:val="505050"/>
          <w:lang w:val="en"/>
        </w:rPr>
        <w:t>.</w:t>
      </w:r>
    </w:p>
    <w:p w14:paraId="2040ED99" w14:textId="6AE3FBA2" w:rsidR="00466BD8" w:rsidRDefault="00466BD8" w:rsidP="00FD025A">
      <w:pPr>
        <w:spacing w:before="100" w:beforeAutospacing="1" w:after="100" w:afterAutospacing="1" w:line="240" w:lineRule="auto"/>
        <w:rPr>
          <w:rFonts w:ascii="Arial" w:eastAsia="Times New Roman" w:hAnsi="Arial" w:cs="Arial"/>
          <w:sz w:val="20"/>
          <w:szCs w:val="20"/>
          <w:lang w:val="en" w:eastAsia="en-ZA"/>
        </w:rPr>
      </w:pPr>
    </w:p>
    <w:p w14:paraId="47395D67" w14:textId="7EC11374" w:rsidR="00334C32" w:rsidRDefault="00334C32" w:rsidP="00FD025A">
      <w:pPr>
        <w:spacing w:before="100" w:beforeAutospacing="1" w:after="100" w:afterAutospacing="1" w:line="240" w:lineRule="auto"/>
        <w:rPr>
          <w:rFonts w:ascii="Arial" w:eastAsia="Times New Roman" w:hAnsi="Arial" w:cs="Arial"/>
          <w:sz w:val="20"/>
          <w:szCs w:val="20"/>
          <w:lang w:val="en" w:eastAsia="en-ZA"/>
        </w:rPr>
      </w:pPr>
    </w:p>
    <w:p w14:paraId="50143D94" w14:textId="338B3B18" w:rsidR="00334C32" w:rsidRDefault="00334C32" w:rsidP="00FD025A">
      <w:pPr>
        <w:spacing w:before="100" w:beforeAutospacing="1" w:after="100" w:afterAutospacing="1" w:line="240" w:lineRule="auto"/>
        <w:rPr>
          <w:rFonts w:ascii="Arial" w:eastAsia="Times New Roman" w:hAnsi="Arial" w:cs="Arial"/>
          <w:sz w:val="20"/>
          <w:szCs w:val="20"/>
          <w:lang w:val="en" w:eastAsia="en-ZA"/>
        </w:rPr>
      </w:pPr>
    </w:p>
    <w:p w14:paraId="7F66E9DF" w14:textId="77777777" w:rsidR="00334C32" w:rsidRPr="00DA1699" w:rsidRDefault="00334C32" w:rsidP="00FD025A">
      <w:pPr>
        <w:spacing w:before="100" w:beforeAutospacing="1" w:after="100" w:afterAutospacing="1" w:line="240" w:lineRule="auto"/>
        <w:rPr>
          <w:rFonts w:ascii="Arial" w:eastAsia="Times New Roman" w:hAnsi="Arial" w:cs="Arial"/>
          <w:sz w:val="20"/>
          <w:szCs w:val="20"/>
          <w:lang w:val="en" w:eastAsia="en-ZA"/>
        </w:rPr>
      </w:pPr>
    </w:p>
    <w:p w14:paraId="5725972A" w14:textId="6ADC3E95" w:rsidR="008E31B9" w:rsidRDefault="000C29B0">
      <w:hyperlink r:id="rId133" w:anchor="v=onepage&amp;q=climate%20radiation%20reversal%20since%201990&amp;f=false" w:history="1">
        <w:r w:rsidR="007B63C4" w:rsidRPr="00642143">
          <w:rPr>
            <w:rStyle w:val="Hyperlink"/>
          </w:rPr>
          <w:t>https://books.google.co.za/books?id=ZhKTjpYCn-0C&amp;pg=PA158&amp;lpg=PA158&amp;dq=climate+radiation+reversal+since+1990&amp;source=bl&amp;ots=YpO_f2I2TK&amp;sig=znNQteN2oFc2AgCptAiT6TGRRq4&amp;hl=en&amp;sa=X&amp;ved=2ahUKEwjM15eHy9DeAhVpJMAKHWYLCJoQ6AEwBXoECAQQAQ#v=onepage&amp;q=climate%20radiation%20reversal%20since%201990&amp;f=false</w:t>
        </w:r>
      </w:hyperlink>
    </w:p>
    <w:p w14:paraId="3DD69028" w14:textId="4C105A3B" w:rsidR="007B63C4" w:rsidRDefault="00D850F6">
      <w:r>
        <w:rPr>
          <w:rFonts w:ascii="Arial" w:hAnsi="Arial" w:cs="Arial"/>
          <w:noProof/>
          <w:color w:val="333333"/>
        </w:rPr>
        <w:lastRenderedPageBreak/>
        <w:drawing>
          <wp:inline distT="0" distB="0" distL="0" distR="0" wp14:anchorId="2A6267FF" wp14:editId="2C965A56">
            <wp:extent cx="4444058" cy="6733540"/>
            <wp:effectExtent l="0" t="0" r="0" b="0"/>
            <wp:docPr id="2" name="Picture 2" descr="https://books.google.co.za/books/content?id=ZhKTjpYCn-0C&amp;pg=PA161&amp;img=1&amp;zoom=3&amp;hl=en&amp;ots=YpO_f2I2TK&amp;sig=ACfU3U3JtbEc1b4k3NZcpR0dT_18wNwI-A&amp;w=1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books.google.co.za/books/content?id=ZhKTjpYCn-0C&amp;pg=PA161&amp;img=1&amp;zoom=3&amp;hl=en&amp;ots=YpO_f2I2TK&amp;sig=ACfU3U3JtbEc1b4k3NZcpR0dT_18wNwI-A&amp;w=1280"/>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4452224" cy="6745912"/>
                    </a:xfrm>
                    <a:prstGeom prst="rect">
                      <a:avLst/>
                    </a:prstGeom>
                    <a:noFill/>
                    <a:ln>
                      <a:noFill/>
                    </a:ln>
                  </pic:spPr>
                </pic:pic>
              </a:graphicData>
            </a:graphic>
          </wp:inline>
        </w:drawing>
      </w:r>
    </w:p>
    <w:p w14:paraId="23648B04" w14:textId="7E4C46D9" w:rsidR="00D850F6" w:rsidRDefault="00D850F6" w:rsidP="00D850F6">
      <w:pPr>
        <w:shd w:val="clear" w:color="auto" w:fill="FCFCFC"/>
        <w:spacing w:line="288" w:lineRule="atLeast"/>
        <w:jc w:val="center"/>
        <w:rPr>
          <w:rFonts w:ascii="Arial" w:hAnsi="Arial" w:cs="Arial"/>
          <w:color w:val="333333"/>
          <w:sz w:val="24"/>
          <w:szCs w:val="24"/>
        </w:rPr>
      </w:pPr>
      <w:r>
        <w:rPr>
          <w:rFonts w:ascii="Arial" w:hAnsi="Arial" w:cs="Arial"/>
          <w:noProof/>
          <w:color w:val="333333"/>
        </w:rPr>
        <w:lastRenderedPageBreak/>
        <w:drawing>
          <wp:inline distT="0" distB="0" distL="0" distR="0" wp14:anchorId="11F0E0FC" wp14:editId="6E002467">
            <wp:extent cx="3609225" cy="5468620"/>
            <wp:effectExtent l="0" t="0" r="0" b="0"/>
            <wp:docPr id="3" name="Picture 3" descr="https://books.google.co.za/books/content?id=ZhKTjpYCn-0C&amp;pg=PA164&amp;img=1&amp;zoom=3&amp;hl=en&amp;sig=ACfU3U1CI8_lZ-clM6FLslSKI_WP23Surw&amp;w=1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books.google.co.za/books/content?id=ZhKTjpYCn-0C&amp;pg=PA164&amp;img=1&amp;zoom=3&amp;hl=en&amp;sig=ACfU3U1CI8_lZ-clM6FLslSKI_WP23Surw&amp;w=1280"/>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3616609" cy="5479808"/>
                    </a:xfrm>
                    <a:prstGeom prst="rect">
                      <a:avLst/>
                    </a:prstGeom>
                    <a:noFill/>
                    <a:ln>
                      <a:noFill/>
                    </a:ln>
                  </pic:spPr>
                </pic:pic>
              </a:graphicData>
            </a:graphic>
          </wp:inline>
        </w:drawing>
      </w:r>
    </w:p>
    <w:p w14:paraId="4F46E6E5" w14:textId="6E14C6F7" w:rsidR="00397CB2" w:rsidRDefault="00397CB2" w:rsidP="00D850F6">
      <w:pPr>
        <w:shd w:val="clear" w:color="auto" w:fill="FCFCFC"/>
        <w:spacing w:line="288" w:lineRule="atLeast"/>
        <w:jc w:val="center"/>
        <w:rPr>
          <w:rFonts w:ascii="Arial" w:hAnsi="Arial" w:cs="Arial"/>
          <w:color w:val="333333"/>
          <w:sz w:val="24"/>
          <w:szCs w:val="24"/>
        </w:rPr>
      </w:pPr>
    </w:p>
    <w:p w14:paraId="2E21E186" w14:textId="64D5ABD1" w:rsidR="00397CB2" w:rsidRDefault="00397CB2" w:rsidP="00D850F6">
      <w:pPr>
        <w:shd w:val="clear" w:color="auto" w:fill="FCFCFC"/>
        <w:spacing w:line="288" w:lineRule="atLeast"/>
        <w:jc w:val="center"/>
        <w:rPr>
          <w:rFonts w:ascii="Arial" w:hAnsi="Arial" w:cs="Arial"/>
          <w:color w:val="333333"/>
          <w:sz w:val="24"/>
          <w:szCs w:val="24"/>
        </w:rPr>
      </w:pPr>
    </w:p>
    <w:p w14:paraId="742D5E78" w14:textId="0B8E10DE" w:rsidR="00397CB2" w:rsidRDefault="00397CB2" w:rsidP="00D850F6">
      <w:pPr>
        <w:shd w:val="clear" w:color="auto" w:fill="FCFCFC"/>
        <w:spacing w:line="288" w:lineRule="atLeast"/>
        <w:jc w:val="center"/>
        <w:rPr>
          <w:rFonts w:ascii="Arial" w:hAnsi="Arial" w:cs="Arial"/>
          <w:color w:val="333333"/>
          <w:sz w:val="24"/>
          <w:szCs w:val="24"/>
        </w:rPr>
      </w:pPr>
    </w:p>
    <w:p w14:paraId="6429BE15" w14:textId="306E16A1" w:rsidR="00397CB2" w:rsidRDefault="00397CB2" w:rsidP="00D850F6">
      <w:pPr>
        <w:shd w:val="clear" w:color="auto" w:fill="FCFCFC"/>
        <w:spacing w:line="288" w:lineRule="atLeast"/>
        <w:jc w:val="center"/>
        <w:rPr>
          <w:rFonts w:ascii="Arial" w:hAnsi="Arial" w:cs="Arial"/>
          <w:color w:val="333333"/>
          <w:sz w:val="24"/>
          <w:szCs w:val="24"/>
        </w:rPr>
      </w:pPr>
    </w:p>
    <w:p w14:paraId="0A66E0A7" w14:textId="77777777" w:rsidR="00397CB2" w:rsidRDefault="00397CB2" w:rsidP="00D850F6">
      <w:pPr>
        <w:shd w:val="clear" w:color="auto" w:fill="FCFCFC"/>
        <w:spacing w:line="288" w:lineRule="atLeast"/>
        <w:jc w:val="center"/>
        <w:rPr>
          <w:rFonts w:ascii="Arial" w:hAnsi="Arial" w:cs="Arial"/>
          <w:color w:val="333333"/>
          <w:sz w:val="24"/>
          <w:szCs w:val="24"/>
        </w:rPr>
      </w:pPr>
    </w:p>
    <w:p w14:paraId="327639D9" w14:textId="0EB480EF" w:rsidR="00D850F6" w:rsidRDefault="00D850F6" w:rsidP="00D850F6">
      <w:pPr>
        <w:shd w:val="clear" w:color="auto" w:fill="FCFCFC"/>
        <w:spacing w:line="288" w:lineRule="atLeast"/>
        <w:jc w:val="center"/>
        <w:rPr>
          <w:rFonts w:ascii="Arial" w:hAnsi="Arial" w:cs="Arial"/>
          <w:color w:val="333333"/>
          <w:sz w:val="24"/>
          <w:szCs w:val="24"/>
        </w:rPr>
      </w:pPr>
    </w:p>
    <w:p w14:paraId="3DC30965" w14:textId="77777777" w:rsidR="00397CB2" w:rsidRDefault="00397CB2" w:rsidP="00D850F6">
      <w:pPr>
        <w:shd w:val="clear" w:color="auto" w:fill="FCFCFC"/>
        <w:spacing w:line="288" w:lineRule="atLeast"/>
        <w:jc w:val="center"/>
        <w:rPr>
          <w:rFonts w:ascii="Arial" w:hAnsi="Arial" w:cs="Arial"/>
          <w:color w:val="333333"/>
          <w:sz w:val="24"/>
          <w:szCs w:val="24"/>
        </w:rPr>
      </w:pPr>
    </w:p>
    <w:sectPr w:rsidR="00397CB2">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BoldMT">
    <w:altName w:val="Arial"/>
    <w:panose1 w:val="00000000000000000000"/>
    <w:charset w:val="00"/>
    <w:family w:val="swiss"/>
    <w:notTrueType/>
    <w:pitch w:val="default"/>
    <w:sig w:usb0="00000003" w:usb1="00000000" w:usb2="00000000" w:usb3="00000000" w:csb0="00000001" w:csb1="00000000"/>
  </w:font>
  <w:font w:name="TimesNewRomanPSMT">
    <w:altName w:val="Yu Gothic"/>
    <w:panose1 w:val="00000000000000000000"/>
    <w:charset w:val="00"/>
    <w:family w:val="roman"/>
    <w:notTrueType/>
    <w:pitch w:val="default"/>
    <w:sig w:usb0="00000003" w:usb1="08070000" w:usb2="00000010" w:usb3="00000000" w:csb0="00020001" w:csb1="00000000"/>
  </w:font>
  <w:font w:name="TimesNewRomanPS-BoldMT">
    <w:altName w:val="Times New Roman"/>
    <w:panose1 w:val="00000000000000000000"/>
    <w:charset w:val="00"/>
    <w:family w:val="roman"/>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Source Sans Pro">
    <w:charset w:val="00"/>
    <w:family w:val="swiss"/>
    <w:pitch w:val="variable"/>
    <w:sig w:usb0="600002F7" w:usb1="02000001" w:usb2="00000000" w:usb3="00000000" w:csb0="0000019F" w:csb1="00000000"/>
  </w:font>
  <w:font w:name="Helvetica">
    <w:altName w:val="Arial"/>
    <w:panose1 w:val="020B0604020202020204"/>
    <w:charset w:val="00"/>
    <w:family w:val="swiss"/>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B36157"/>
    <w:multiLevelType w:val="multilevel"/>
    <w:tmpl w:val="326225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D4256F6"/>
    <w:multiLevelType w:val="multilevel"/>
    <w:tmpl w:val="B6B280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3E6103B"/>
    <w:multiLevelType w:val="multilevel"/>
    <w:tmpl w:val="B05C2C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0B15F81"/>
    <w:multiLevelType w:val="multilevel"/>
    <w:tmpl w:val="640A6E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611077C"/>
    <w:multiLevelType w:val="multilevel"/>
    <w:tmpl w:val="9496C1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B712100"/>
    <w:multiLevelType w:val="multilevel"/>
    <w:tmpl w:val="6CDC94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0FE72AC"/>
    <w:multiLevelType w:val="multilevel"/>
    <w:tmpl w:val="F90CE3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47A25E3"/>
    <w:multiLevelType w:val="multilevel"/>
    <w:tmpl w:val="6E1208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1"/>
  </w:num>
  <w:num w:numId="3">
    <w:abstractNumId w:val="3"/>
  </w:num>
  <w:num w:numId="4">
    <w:abstractNumId w:val="0"/>
  </w:num>
  <w:num w:numId="5">
    <w:abstractNumId w:val="2"/>
  </w:num>
  <w:num w:numId="6">
    <w:abstractNumId w:val="5"/>
  </w:num>
  <w:num w:numId="7">
    <w:abstractNumId w:val="7"/>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1E64"/>
    <w:rsid w:val="0002455A"/>
    <w:rsid w:val="00035ECA"/>
    <w:rsid w:val="00056202"/>
    <w:rsid w:val="00062048"/>
    <w:rsid w:val="000C29B0"/>
    <w:rsid w:val="000F4BC1"/>
    <w:rsid w:val="000F6E33"/>
    <w:rsid w:val="0012235E"/>
    <w:rsid w:val="00187761"/>
    <w:rsid w:val="001965AE"/>
    <w:rsid w:val="0022258D"/>
    <w:rsid w:val="0022440C"/>
    <w:rsid w:val="00241E64"/>
    <w:rsid w:val="00251A34"/>
    <w:rsid w:val="0029626C"/>
    <w:rsid w:val="002B4362"/>
    <w:rsid w:val="002D1872"/>
    <w:rsid w:val="002E6BC9"/>
    <w:rsid w:val="00334C32"/>
    <w:rsid w:val="00397CB2"/>
    <w:rsid w:val="003C6923"/>
    <w:rsid w:val="00426A1B"/>
    <w:rsid w:val="004440B7"/>
    <w:rsid w:val="00466BD8"/>
    <w:rsid w:val="004A6903"/>
    <w:rsid w:val="004B0033"/>
    <w:rsid w:val="004E60FB"/>
    <w:rsid w:val="005617FF"/>
    <w:rsid w:val="00580417"/>
    <w:rsid w:val="00597540"/>
    <w:rsid w:val="005B2394"/>
    <w:rsid w:val="005D3776"/>
    <w:rsid w:val="005D7DB1"/>
    <w:rsid w:val="00603F86"/>
    <w:rsid w:val="00614B3C"/>
    <w:rsid w:val="00663C99"/>
    <w:rsid w:val="00682DEA"/>
    <w:rsid w:val="00683277"/>
    <w:rsid w:val="006A1F5F"/>
    <w:rsid w:val="006A24BB"/>
    <w:rsid w:val="006D0556"/>
    <w:rsid w:val="007439B5"/>
    <w:rsid w:val="007625F4"/>
    <w:rsid w:val="00765746"/>
    <w:rsid w:val="00796DAB"/>
    <w:rsid w:val="007B63C4"/>
    <w:rsid w:val="007C4B6A"/>
    <w:rsid w:val="007C633A"/>
    <w:rsid w:val="00814602"/>
    <w:rsid w:val="00824C10"/>
    <w:rsid w:val="00897C7B"/>
    <w:rsid w:val="008A3A21"/>
    <w:rsid w:val="008C164D"/>
    <w:rsid w:val="008E31B9"/>
    <w:rsid w:val="008E735C"/>
    <w:rsid w:val="0092557C"/>
    <w:rsid w:val="00930F7E"/>
    <w:rsid w:val="00962C91"/>
    <w:rsid w:val="0096390E"/>
    <w:rsid w:val="009E4C7D"/>
    <w:rsid w:val="009E7E43"/>
    <w:rsid w:val="00A05ACE"/>
    <w:rsid w:val="00A17337"/>
    <w:rsid w:val="00A3096F"/>
    <w:rsid w:val="00A45D5F"/>
    <w:rsid w:val="00A61657"/>
    <w:rsid w:val="00A65EF6"/>
    <w:rsid w:val="00A942CC"/>
    <w:rsid w:val="00AD2322"/>
    <w:rsid w:val="00AF61ED"/>
    <w:rsid w:val="00B4710C"/>
    <w:rsid w:val="00C150E8"/>
    <w:rsid w:val="00C21114"/>
    <w:rsid w:val="00C83234"/>
    <w:rsid w:val="00C851E1"/>
    <w:rsid w:val="00CE05DE"/>
    <w:rsid w:val="00D850F6"/>
    <w:rsid w:val="00DA1699"/>
    <w:rsid w:val="00DD2225"/>
    <w:rsid w:val="00DD6F54"/>
    <w:rsid w:val="00DF2124"/>
    <w:rsid w:val="00E91FA1"/>
    <w:rsid w:val="00ED0366"/>
    <w:rsid w:val="00EE55F2"/>
    <w:rsid w:val="00F478BD"/>
    <w:rsid w:val="00F76508"/>
    <w:rsid w:val="00FD025A"/>
    <w:rsid w:val="00FE19E4"/>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1EEB086C"/>
  <w15:chartTrackingRefBased/>
  <w15:docId w15:val="{C9C5EFE8-E957-4749-A800-11653F1533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ZA"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link w:val="Heading1Char"/>
    <w:uiPriority w:val="9"/>
    <w:qFormat/>
    <w:rsid w:val="00DA1699"/>
    <w:pPr>
      <w:spacing w:before="161" w:after="161" w:line="240" w:lineRule="auto"/>
      <w:outlineLvl w:val="0"/>
    </w:pPr>
    <w:rPr>
      <w:rFonts w:ascii="Times New Roman" w:eastAsia="Times New Roman" w:hAnsi="Times New Roman" w:cs="Times New Roman"/>
      <w:b/>
      <w:bCs/>
      <w:kern w:val="36"/>
      <w:sz w:val="45"/>
      <w:szCs w:val="45"/>
      <w:lang w:eastAsia="en-ZA"/>
    </w:rPr>
  </w:style>
  <w:style w:type="paragraph" w:styleId="Heading2">
    <w:name w:val="heading 2"/>
    <w:basedOn w:val="Normal"/>
    <w:link w:val="Heading2Char"/>
    <w:uiPriority w:val="9"/>
    <w:qFormat/>
    <w:rsid w:val="00DA1699"/>
    <w:pPr>
      <w:spacing w:before="100" w:beforeAutospacing="1" w:after="100" w:afterAutospacing="1" w:line="240" w:lineRule="auto"/>
      <w:outlineLvl w:val="1"/>
    </w:pPr>
    <w:rPr>
      <w:rFonts w:ascii="Times New Roman" w:eastAsia="Times New Roman" w:hAnsi="Times New Roman" w:cs="Times New Roman"/>
      <w:b/>
      <w:bCs/>
      <w:sz w:val="36"/>
      <w:szCs w:val="36"/>
      <w:lang w:eastAsia="en-ZA"/>
    </w:rPr>
  </w:style>
  <w:style w:type="paragraph" w:styleId="Heading3">
    <w:name w:val="heading 3"/>
    <w:basedOn w:val="Normal"/>
    <w:link w:val="Heading3Char"/>
    <w:uiPriority w:val="9"/>
    <w:qFormat/>
    <w:rsid w:val="00DA1699"/>
    <w:pPr>
      <w:spacing w:before="100" w:beforeAutospacing="1" w:after="100" w:afterAutospacing="1" w:line="240" w:lineRule="auto"/>
      <w:outlineLvl w:val="2"/>
    </w:pPr>
    <w:rPr>
      <w:rFonts w:ascii="Times New Roman" w:eastAsia="Times New Roman" w:hAnsi="Times New Roman" w:cs="Times New Roman"/>
      <w:b/>
      <w:bCs/>
      <w:sz w:val="26"/>
      <w:szCs w:val="26"/>
      <w:lang w:eastAsia="en-Z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A1699"/>
    <w:rPr>
      <w:rFonts w:ascii="Times New Roman" w:eastAsia="Times New Roman" w:hAnsi="Times New Roman" w:cs="Times New Roman"/>
      <w:b/>
      <w:bCs/>
      <w:kern w:val="36"/>
      <w:sz w:val="45"/>
      <w:szCs w:val="45"/>
      <w:lang w:eastAsia="en-ZA"/>
    </w:rPr>
  </w:style>
  <w:style w:type="character" w:customStyle="1" w:styleId="Heading2Char">
    <w:name w:val="Heading 2 Char"/>
    <w:basedOn w:val="DefaultParagraphFont"/>
    <w:link w:val="Heading2"/>
    <w:uiPriority w:val="9"/>
    <w:rsid w:val="00DA1699"/>
    <w:rPr>
      <w:rFonts w:ascii="Times New Roman" w:eastAsia="Times New Roman" w:hAnsi="Times New Roman" w:cs="Times New Roman"/>
      <w:b/>
      <w:bCs/>
      <w:sz w:val="36"/>
      <w:szCs w:val="36"/>
      <w:lang w:eastAsia="en-ZA"/>
    </w:rPr>
  </w:style>
  <w:style w:type="character" w:customStyle="1" w:styleId="Heading3Char">
    <w:name w:val="Heading 3 Char"/>
    <w:basedOn w:val="DefaultParagraphFont"/>
    <w:link w:val="Heading3"/>
    <w:uiPriority w:val="9"/>
    <w:rsid w:val="00DA1699"/>
    <w:rPr>
      <w:rFonts w:ascii="Times New Roman" w:eastAsia="Times New Roman" w:hAnsi="Times New Roman" w:cs="Times New Roman"/>
      <w:b/>
      <w:bCs/>
      <w:sz w:val="26"/>
      <w:szCs w:val="26"/>
      <w:lang w:eastAsia="en-ZA"/>
    </w:rPr>
  </w:style>
  <w:style w:type="character" w:styleId="Hyperlink">
    <w:name w:val="Hyperlink"/>
    <w:basedOn w:val="DefaultParagraphFont"/>
    <w:uiPriority w:val="99"/>
    <w:unhideWhenUsed/>
    <w:rsid w:val="00DA1699"/>
    <w:rPr>
      <w:strike w:val="0"/>
      <w:dstrike w:val="0"/>
      <w:color w:val="006699"/>
      <w:u w:val="none"/>
      <w:effect w:val="none"/>
      <w:shd w:val="clear" w:color="auto" w:fill="auto"/>
    </w:rPr>
  </w:style>
  <w:style w:type="paragraph" w:styleId="NormalWeb">
    <w:name w:val="Normal (Web)"/>
    <w:basedOn w:val="Normal"/>
    <w:uiPriority w:val="99"/>
    <w:unhideWhenUsed/>
    <w:rsid w:val="00DA1699"/>
    <w:pPr>
      <w:spacing w:before="100" w:beforeAutospacing="1" w:after="100" w:afterAutospacing="1" w:line="240" w:lineRule="auto"/>
    </w:pPr>
    <w:rPr>
      <w:rFonts w:ascii="Times New Roman" w:eastAsia="Times New Roman" w:hAnsi="Times New Roman" w:cs="Times New Roman"/>
      <w:sz w:val="24"/>
      <w:szCs w:val="24"/>
      <w:lang w:eastAsia="en-ZA"/>
    </w:rPr>
  </w:style>
  <w:style w:type="paragraph" w:customStyle="1" w:styleId="js-hide">
    <w:name w:val="js-hide"/>
    <w:basedOn w:val="Normal"/>
    <w:rsid w:val="00DA1699"/>
    <w:pPr>
      <w:spacing w:before="100" w:beforeAutospacing="1" w:after="100" w:afterAutospacing="1" w:line="240" w:lineRule="auto"/>
    </w:pPr>
    <w:rPr>
      <w:rFonts w:ascii="Times New Roman" w:eastAsia="Times New Roman" w:hAnsi="Times New Roman" w:cs="Times New Roman"/>
      <w:sz w:val="24"/>
      <w:szCs w:val="24"/>
      <w:lang w:eastAsia="en-ZA"/>
    </w:rPr>
  </w:style>
  <w:style w:type="character" w:customStyle="1" w:styleId="js-separator">
    <w:name w:val="js-separator"/>
    <w:basedOn w:val="DefaultParagraphFont"/>
    <w:rsid w:val="00DA1699"/>
  </w:style>
  <w:style w:type="paragraph" w:customStyle="1" w:styleId="js-smaller-author-etal">
    <w:name w:val="js-smaller-author-etal"/>
    <w:basedOn w:val="Normal"/>
    <w:rsid w:val="00DA1699"/>
    <w:pPr>
      <w:spacing w:before="100" w:beforeAutospacing="1" w:after="100" w:afterAutospacing="1" w:line="240" w:lineRule="auto"/>
    </w:pPr>
    <w:rPr>
      <w:rFonts w:ascii="Times New Roman" w:eastAsia="Times New Roman" w:hAnsi="Times New Roman" w:cs="Times New Roman"/>
      <w:sz w:val="24"/>
      <w:szCs w:val="24"/>
      <w:lang w:eastAsia="en-ZA"/>
    </w:rPr>
  </w:style>
  <w:style w:type="paragraph" w:customStyle="1" w:styleId="text14">
    <w:name w:val="text14"/>
    <w:basedOn w:val="Normal"/>
    <w:rsid w:val="00DA1699"/>
    <w:pPr>
      <w:spacing w:before="100" w:beforeAutospacing="1" w:after="100" w:afterAutospacing="1" w:line="240" w:lineRule="auto"/>
    </w:pPr>
    <w:rPr>
      <w:rFonts w:ascii="Times New Roman" w:eastAsia="Times New Roman" w:hAnsi="Times New Roman" w:cs="Times New Roman"/>
      <w:sz w:val="24"/>
      <w:szCs w:val="24"/>
      <w:lang w:eastAsia="en-ZA"/>
    </w:rPr>
  </w:style>
  <w:style w:type="character" w:customStyle="1" w:styleId="visually-hidden">
    <w:name w:val="visually-hidden"/>
    <w:basedOn w:val="DefaultParagraphFont"/>
    <w:rsid w:val="00DA1699"/>
  </w:style>
  <w:style w:type="character" w:customStyle="1" w:styleId="pl6">
    <w:name w:val="pl6"/>
    <w:basedOn w:val="DefaultParagraphFont"/>
    <w:rsid w:val="00DA1699"/>
  </w:style>
  <w:style w:type="character" w:customStyle="1" w:styleId="js-section-title-label">
    <w:name w:val="js-section-title-label"/>
    <w:basedOn w:val="DefaultParagraphFont"/>
    <w:rsid w:val="00DA1699"/>
  </w:style>
  <w:style w:type="character" w:styleId="UnresolvedMention">
    <w:name w:val="Unresolved Mention"/>
    <w:basedOn w:val="DefaultParagraphFont"/>
    <w:uiPriority w:val="99"/>
    <w:semiHidden/>
    <w:unhideWhenUsed/>
    <w:rsid w:val="00683277"/>
    <w:rPr>
      <w:color w:val="605E5C"/>
      <w:shd w:val="clear" w:color="auto" w:fill="E1DFDD"/>
    </w:rPr>
  </w:style>
  <w:style w:type="paragraph" w:customStyle="1" w:styleId="gb-buy-options-link">
    <w:name w:val="gb-buy-options-link"/>
    <w:basedOn w:val="Normal"/>
    <w:rsid w:val="00D850F6"/>
    <w:pPr>
      <w:spacing w:before="100" w:beforeAutospacing="1" w:after="100" w:afterAutospacing="1" w:line="240" w:lineRule="auto"/>
    </w:pPr>
    <w:rPr>
      <w:rFonts w:ascii="Times New Roman" w:eastAsia="Times New Roman" w:hAnsi="Times New Roman" w:cs="Times New Roman"/>
      <w:color w:val="1155CC"/>
      <w:sz w:val="20"/>
      <w:szCs w:val="20"/>
      <w:lang w:eastAsia="en-ZA"/>
    </w:rPr>
  </w:style>
  <w:style w:type="paragraph" w:customStyle="1" w:styleId="unified-hovercard-device-supported">
    <w:name w:val="unified-hovercard-device-supported"/>
    <w:basedOn w:val="Normal"/>
    <w:rsid w:val="00D850F6"/>
    <w:pPr>
      <w:spacing w:before="100" w:beforeAutospacing="1" w:after="100" w:afterAutospacing="1" w:line="240" w:lineRule="auto"/>
    </w:pPr>
    <w:rPr>
      <w:rFonts w:ascii="Times New Roman" w:eastAsia="Times New Roman" w:hAnsi="Times New Roman" w:cs="Times New Roman"/>
      <w:sz w:val="24"/>
      <w:szCs w:val="24"/>
      <w:lang w:eastAsia="en-ZA"/>
    </w:rPr>
  </w:style>
  <w:style w:type="paragraph" w:customStyle="1" w:styleId="gbt">
    <w:name w:val="gb_t"/>
    <w:basedOn w:val="Normal"/>
    <w:rsid w:val="00D850F6"/>
    <w:pPr>
      <w:spacing w:before="100" w:beforeAutospacing="1" w:after="100" w:afterAutospacing="1" w:line="240" w:lineRule="auto"/>
      <w:textAlignment w:val="top"/>
    </w:pPr>
    <w:rPr>
      <w:rFonts w:ascii="Times New Roman" w:eastAsia="Times New Roman" w:hAnsi="Times New Roman" w:cs="Times New Roman"/>
      <w:color w:val="000000"/>
      <w:sz w:val="24"/>
      <w:szCs w:val="24"/>
      <w:lang w:eastAsia="en-ZA"/>
    </w:rPr>
  </w:style>
  <w:style w:type="character" w:customStyle="1" w:styleId="gbx2">
    <w:name w:val="gb_x2"/>
    <w:basedOn w:val="DefaultParagraphFont"/>
    <w:rsid w:val="00D850F6"/>
    <w:rPr>
      <w:vanish w:val="0"/>
      <w:webHidden w:val="0"/>
      <w:specVanish w:val="0"/>
    </w:rPr>
  </w:style>
  <w:style w:type="character" w:customStyle="1" w:styleId="gblb1">
    <w:name w:val="gb_lb1"/>
    <w:basedOn w:val="DefaultParagraphFont"/>
    <w:rsid w:val="00D850F6"/>
    <w:rPr>
      <w:b/>
      <w:bCs/>
      <w:color w:val="FFFFFF"/>
      <w:sz w:val="14"/>
      <w:szCs w:val="14"/>
    </w:rPr>
  </w:style>
  <w:style w:type="paragraph" w:styleId="z-TopofForm">
    <w:name w:val="HTML Top of Form"/>
    <w:basedOn w:val="Normal"/>
    <w:next w:val="Normal"/>
    <w:link w:val="z-TopofFormChar"/>
    <w:hidden/>
    <w:uiPriority w:val="99"/>
    <w:semiHidden/>
    <w:unhideWhenUsed/>
    <w:rsid w:val="00D850F6"/>
    <w:pPr>
      <w:pBdr>
        <w:bottom w:val="single" w:sz="6" w:space="1" w:color="auto"/>
      </w:pBdr>
      <w:spacing w:after="0" w:line="240" w:lineRule="auto"/>
      <w:jc w:val="center"/>
    </w:pPr>
    <w:rPr>
      <w:rFonts w:ascii="Arial" w:eastAsia="Times New Roman" w:hAnsi="Arial" w:cs="Arial"/>
      <w:vanish/>
      <w:sz w:val="16"/>
      <w:szCs w:val="16"/>
      <w:lang w:eastAsia="en-ZA"/>
    </w:rPr>
  </w:style>
  <w:style w:type="character" w:customStyle="1" w:styleId="z-TopofFormChar">
    <w:name w:val="z-Top of Form Char"/>
    <w:basedOn w:val="DefaultParagraphFont"/>
    <w:link w:val="z-TopofForm"/>
    <w:uiPriority w:val="99"/>
    <w:semiHidden/>
    <w:rsid w:val="00D850F6"/>
    <w:rPr>
      <w:rFonts w:ascii="Arial" w:eastAsia="Times New Roman" w:hAnsi="Arial" w:cs="Arial"/>
      <w:vanish/>
      <w:sz w:val="16"/>
      <w:szCs w:val="16"/>
      <w:lang w:eastAsia="en-ZA"/>
    </w:rPr>
  </w:style>
  <w:style w:type="paragraph" w:styleId="z-BottomofForm">
    <w:name w:val="HTML Bottom of Form"/>
    <w:basedOn w:val="Normal"/>
    <w:next w:val="Normal"/>
    <w:link w:val="z-BottomofFormChar"/>
    <w:hidden/>
    <w:uiPriority w:val="99"/>
    <w:semiHidden/>
    <w:unhideWhenUsed/>
    <w:rsid w:val="00D850F6"/>
    <w:pPr>
      <w:pBdr>
        <w:top w:val="single" w:sz="6" w:space="1" w:color="auto"/>
      </w:pBdr>
      <w:spacing w:after="0" w:line="240" w:lineRule="auto"/>
      <w:jc w:val="center"/>
    </w:pPr>
    <w:rPr>
      <w:rFonts w:ascii="Arial" w:eastAsia="Times New Roman" w:hAnsi="Arial" w:cs="Arial"/>
      <w:vanish/>
      <w:sz w:val="16"/>
      <w:szCs w:val="16"/>
      <w:lang w:eastAsia="en-ZA"/>
    </w:rPr>
  </w:style>
  <w:style w:type="character" w:customStyle="1" w:styleId="z-BottomofFormChar">
    <w:name w:val="z-Bottom of Form Char"/>
    <w:basedOn w:val="DefaultParagraphFont"/>
    <w:link w:val="z-BottomofForm"/>
    <w:uiPriority w:val="99"/>
    <w:semiHidden/>
    <w:rsid w:val="00D850F6"/>
    <w:rPr>
      <w:rFonts w:ascii="Arial" w:eastAsia="Times New Roman" w:hAnsi="Arial" w:cs="Arial"/>
      <w:vanish/>
      <w:sz w:val="16"/>
      <w:szCs w:val="16"/>
      <w:lang w:eastAsia="en-ZA"/>
    </w:rPr>
  </w:style>
  <w:style w:type="character" w:customStyle="1" w:styleId="jfk-button-label2">
    <w:name w:val="jfk-button-label2"/>
    <w:basedOn w:val="DefaultParagraphFont"/>
    <w:rsid w:val="00D850F6"/>
  </w:style>
  <w:style w:type="character" w:customStyle="1" w:styleId="main-title">
    <w:name w:val="main-title"/>
    <w:basedOn w:val="DefaultParagraphFont"/>
    <w:rsid w:val="00D850F6"/>
  </w:style>
  <w:style w:type="paragraph" w:customStyle="1" w:styleId="gbe">
    <w:name w:val="gbe"/>
    <w:basedOn w:val="Normal"/>
    <w:rsid w:val="00D850F6"/>
    <w:pPr>
      <w:spacing w:before="100" w:beforeAutospacing="1" w:after="100" w:afterAutospacing="1" w:line="240" w:lineRule="auto"/>
    </w:pPr>
    <w:rPr>
      <w:rFonts w:ascii="Times New Roman" w:eastAsia="Times New Roman" w:hAnsi="Times New Roman" w:cs="Times New Roman"/>
      <w:sz w:val="24"/>
      <w:szCs w:val="24"/>
      <w:lang w:eastAsia="en-ZA"/>
    </w:rPr>
  </w:style>
  <w:style w:type="character" w:customStyle="1" w:styleId="gb-buy-options-arrow1">
    <w:name w:val="gb-buy-options-arrow1"/>
    <w:basedOn w:val="DefaultParagraphFont"/>
    <w:rsid w:val="00D850F6"/>
  </w:style>
  <w:style w:type="character" w:customStyle="1" w:styleId="num-ratings">
    <w:name w:val="num-ratings"/>
    <w:basedOn w:val="DefaultParagraphFont"/>
    <w:rsid w:val="00D850F6"/>
  </w:style>
  <w:style w:type="character" w:customStyle="1" w:styleId="count">
    <w:name w:val="count"/>
    <w:basedOn w:val="DefaultParagraphFont"/>
    <w:rsid w:val="00D850F6"/>
  </w:style>
  <w:style w:type="character" w:customStyle="1" w:styleId="addmd1">
    <w:name w:val="addmd1"/>
    <w:basedOn w:val="DefaultParagraphFont"/>
    <w:rsid w:val="00D850F6"/>
    <w:rPr>
      <w:sz w:val="20"/>
      <w:szCs w:val="20"/>
    </w:rPr>
  </w:style>
  <w:style w:type="character" w:styleId="FollowedHyperlink">
    <w:name w:val="FollowedHyperlink"/>
    <w:basedOn w:val="DefaultParagraphFont"/>
    <w:uiPriority w:val="99"/>
    <w:semiHidden/>
    <w:unhideWhenUsed/>
    <w:rsid w:val="00603F86"/>
    <w:rPr>
      <w:color w:val="954F72" w:themeColor="followedHyperlink"/>
      <w:u w:val="single"/>
    </w:rPr>
  </w:style>
  <w:style w:type="paragraph" w:customStyle="1" w:styleId="para1">
    <w:name w:val="para1"/>
    <w:basedOn w:val="Normal"/>
    <w:rsid w:val="004A6903"/>
    <w:pPr>
      <w:spacing w:before="240" w:after="288" w:line="240" w:lineRule="auto"/>
    </w:pPr>
    <w:rPr>
      <w:rFonts w:ascii="Times New Roman" w:eastAsia="Times New Roman" w:hAnsi="Times New Roman" w:cs="Times New Roman"/>
      <w:sz w:val="24"/>
      <w:szCs w:val="24"/>
      <w:lang w:eastAsia="en-ZA"/>
    </w:rPr>
  </w:style>
  <w:style w:type="paragraph" w:customStyle="1" w:styleId="simplepara">
    <w:name w:val="simplepara"/>
    <w:basedOn w:val="Normal"/>
    <w:rsid w:val="00C150E8"/>
    <w:pPr>
      <w:spacing w:before="100" w:beforeAutospacing="1" w:after="100" w:afterAutospacing="1" w:line="240" w:lineRule="auto"/>
    </w:pPr>
    <w:rPr>
      <w:rFonts w:ascii="Times New Roman" w:eastAsia="Times New Roman" w:hAnsi="Times New Roman" w:cs="Times New Roman"/>
      <w:sz w:val="24"/>
      <w:szCs w:val="24"/>
      <w:lang w:eastAsia="en-ZA"/>
    </w:rPr>
  </w:style>
  <w:style w:type="paragraph" w:styleId="BalloonText">
    <w:name w:val="Balloon Text"/>
    <w:basedOn w:val="Normal"/>
    <w:link w:val="BalloonTextChar"/>
    <w:uiPriority w:val="99"/>
    <w:semiHidden/>
    <w:unhideWhenUsed/>
    <w:rsid w:val="00A3096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3096F"/>
    <w:rPr>
      <w:rFonts w:ascii="Segoe UI" w:hAnsi="Segoe UI" w:cs="Segoe UI"/>
      <w:sz w:val="18"/>
      <w:szCs w:val="18"/>
    </w:rPr>
  </w:style>
  <w:style w:type="paragraph" w:customStyle="1" w:styleId="Default">
    <w:name w:val="Default"/>
    <w:rsid w:val="00DD2225"/>
    <w:pPr>
      <w:autoSpaceDE w:val="0"/>
      <w:autoSpaceDN w:val="0"/>
      <w:adjustRightInd w:val="0"/>
      <w:spacing w:after="0" w:line="240" w:lineRule="auto"/>
    </w:pPr>
    <w:rPr>
      <w:rFonts w:ascii="Arial" w:hAnsi="Arial" w:cs="Arial"/>
      <w:color w:val="000000"/>
      <w:sz w:val="24"/>
      <w:szCs w:val="24"/>
    </w:rPr>
  </w:style>
  <w:style w:type="paragraph" w:customStyle="1" w:styleId="notm">
    <w:name w:val="no_t_m"/>
    <w:basedOn w:val="Normal"/>
    <w:rsid w:val="00466BD8"/>
    <w:pPr>
      <w:spacing w:after="100" w:afterAutospacing="1" w:line="240" w:lineRule="auto"/>
    </w:pPr>
    <w:rPr>
      <w:rFonts w:ascii="Times New Roman" w:eastAsia="Times New Roman" w:hAnsi="Times New Roman" w:cs="Times New Roman"/>
      <w:sz w:val="24"/>
      <w:szCs w:val="24"/>
      <w:lang w:eastAsia="en-ZA"/>
    </w:rPr>
  </w:style>
  <w:style w:type="character" w:styleId="Emphasis">
    <w:name w:val="Emphasis"/>
    <w:basedOn w:val="DefaultParagraphFont"/>
    <w:uiPriority w:val="20"/>
    <w:qFormat/>
    <w:rsid w:val="00334C32"/>
    <w:rPr>
      <w:i/>
      <w:iCs/>
    </w:rPr>
  </w:style>
  <w:style w:type="character" w:customStyle="1" w:styleId="display2">
    <w:name w:val="display2"/>
    <w:basedOn w:val="DefaultParagraphFont"/>
    <w:rsid w:val="00334C32"/>
  </w:style>
  <w:style w:type="character" w:customStyle="1" w:styleId="anchor-text">
    <w:name w:val="anchor-text"/>
    <w:basedOn w:val="DefaultParagraphFont"/>
    <w:rsid w:val="00334C3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297918">
      <w:bodyDiv w:val="1"/>
      <w:marLeft w:val="0"/>
      <w:marRight w:val="0"/>
      <w:marTop w:val="0"/>
      <w:marBottom w:val="0"/>
      <w:divBdr>
        <w:top w:val="none" w:sz="0" w:space="0" w:color="auto"/>
        <w:left w:val="none" w:sz="0" w:space="0" w:color="auto"/>
        <w:bottom w:val="none" w:sz="0" w:space="0" w:color="auto"/>
        <w:right w:val="none" w:sz="0" w:space="0" w:color="auto"/>
      </w:divBdr>
      <w:divsChild>
        <w:div w:id="532890432">
          <w:marLeft w:val="0"/>
          <w:marRight w:val="0"/>
          <w:marTop w:val="0"/>
          <w:marBottom w:val="0"/>
          <w:divBdr>
            <w:top w:val="none" w:sz="0" w:space="0" w:color="auto"/>
            <w:left w:val="none" w:sz="0" w:space="0" w:color="auto"/>
            <w:bottom w:val="none" w:sz="0" w:space="0" w:color="auto"/>
            <w:right w:val="none" w:sz="0" w:space="0" w:color="auto"/>
          </w:divBdr>
          <w:divsChild>
            <w:div w:id="970087154">
              <w:marLeft w:val="0"/>
              <w:marRight w:val="0"/>
              <w:marTop w:val="0"/>
              <w:marBottom w:val="0"/>
              <w:divBdr>
                <w:top w:val="none" w:sz="0" w:space="0" w:color="auto"/>
                <w:left w:val="none" w:sz="0" w:space="0" w:color="auto"/>
                <w:bottom w:val="none" w:sz="0" w:space="0" w:color="auto"/>
                <w:right w:val="none" w:sz="0" w:space="0" w:color="auto"/>
              </w:divBdr>
              <w:divsChild>
                <w:div w:id="2047946420">
                  <w:marLeft w:val="0"/>
                  <w:marRight w:val="0"/>
                  <w:marTop w:val="0"/>
                  <w:marBottom w:val="0"/>
                  <w:divBdr>
                    <w:top w:val="none" w:sz="0" w:space="0" w:color="auto"/>
                    <w:left w:val="none" w:sz="0" w:space="0" w:color="auto"/>
                    <w:bottom w:val="none" w:sz="0" w:space="0" w:color="auto"/>
                    <w:right w:val="none" w:sz="0" w:space="0" w:color="auto"/>
                  </w:divBdr>
                  <w:divsChild>
                    <w:div w:id="950893446">
                      <w:marLeft w:val="0"/>
                      <w:marRight w:val="0"/>
                      <w:marTop w:val="0"/>
                      <w:marBottom w:val="0"/>
                      <w:divBdr>
                        <w:top w:val="none" w:sz="0" w:space="0" w:color="auto"/>
                        <w:left w:val="none" w:sz="0" w:space="0" w:color="auto"/>
                        <w:bottom w:val="none" w:sz="0" w:space="0" w:color="auto"/>
                        <w:right w:val="none" w:sz="0" w:space="0" w:color="auto"/>
                      </w:divBdr>
                      <w:divsChild>
                        <w:div w:id="1120954684">
                          <w:marLeft w:val="0"/>
                          <w:marRight w:val="0"/>
                          <w:marTop w:val="0"/>
                          <w:marBottom w:val="0"/>
                          <w:divBdr>
                            <w:top w:val="none" w:sz="0" w:space="0" w:color="auto"/>
                            <w:left w:val="none" w:sz="0" w:space="0" w:color="auto"/>
                            <w:bottom w:val="none" w:sz="0" w:space="0" w:color="auto"/>
                            <w:right w:val="none" w:sz="0" w:space="0" w:color="auto"/>
                          </w:divBdr>
                          <w:divsChild>
                            <w:div w:id="1714190096">
                              <w:marLeft w:val="0"/>
                              <w:marRight w:val="0"/>
                              <w:marTop w:val="240"/>
                              <w:marBottom w:val="288"/>
                              <w:divBdr>
                                <w:top w:val="none" w:sz="0" w:space="0" w:color="auto"/>
                                <w:left w:val="none" w:sz="0" w:space="0" w:color="auto"/>
                                <w:bottom w:val="none" w:sz="0" w:space="0" w:color="auto"/>
                                <w:right w:val="none" w:sz="0" w:space="0" w:color="auto"/>
                              </w:divBdr>
                              <w:divsChild>
                                <w:div w:id="802383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6921198">
      <w:bodyDiv w:val="1"/>
      <w:marLeft w:val="0"/>
      <w:marRight w:val="0"/>
      <w:marTop w:val="0"/>
      <w:marBottom w:val="0"/>
      <w:divBdr>
        <w:top w:val="none" w:sz="0" w:space="0" w:color="auto"/>
        <w:left w:val="none" w:sz="0" w:space="0" w:color="auto"/>
        <w:bottom w:val="none" w:sz="0" w:space="0" w:color="auto"/>
        <w:right w:val="none" w:sz="0" w:space="0" w:color="auto"/>
      </w:divBdr>
      <w:divsChild>
        <w:div w:id="54165330">
          <w:marLeft w:val="0"/>
          <w:marRight w:val="0"/>
          <w:marTop w:val="0"/>
          <w:marBottom w:val="0"/>
          <w:divBdr>
            <w:top w:val="none" w:sz="0" w:space="0" w:color="auto"/>
            <w:left w:val="none" w:sz="0" w:space="0" w:color="auto"/>
            <w:bottom w:val="none" w:sz="0" w:space="0" w:color="auto"/>
            <w:right w:val="none" w:sz="0" w:space="0" w:color="auto"/>
          </w:divBdr>
          <w:divsChild>
            <w:div w:id="831261256">
              <w:marLeft w:val="0"/>
              <w:marRight w:val="0"/>
              <w:marTop w:val="0"/>
              <w:marBottom w:val="0"/>
              <w:divBdr>
                <w:top w:val="none" w:sz="0" w:space="0" w:color="auto"/>
                <w:left w:val="none" w:sz="0" w:space="0" w:color="auto"/>
                <w:bottom w:val="single" w:sz="6" w:space="0" w:color="8D8D8D"/>
                <w:right w:val="none" w:sz="0" w:space="0" w:color="auto"/>
              </w:divBdr>
              <w:divsChild>
                <w:div w:id="181674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7047220">
      <w:bodyDiv w:val="1"/>
      <w:marLeft w:val="0"/>
      <w:marRight w:val="0"/>
      <w:marTop w:val="0"/>
      <w:marBottom w:val="0"/>
      <w:divBdr>
        <w:top w:val="none" w:sz="0" w:space="0" w:color="auto"/>
        <w:left w:val="none" w:sz="0" w:space="0" w:color="auto"/>
        <w:bottom w:val="none" w:sz="0" w:space="0" w:color="auto"/>
        <w:right w:val="none" w:sz="0" w:space="0" w:color="auto"/>
      </w:divBdr>
      <w:divsChild>
        <w:div w:id="1708480418">
          <w:marLeft w:val="0"/>
          <w:marRight w:val="0"/>
          <w:marTop w:val="0"/>
          <w:marBottom w:val="0"/>
          <w:divBdr>
            <w:top w:val="none" w:sz="0" w:space="0" w:color="auto"/>
            <w:left w:val="none" w:sz="0" w:space="0" w:color="auto"/>
            <w:bottom w:val="none" w:sz="0" w:space="0" w:color="auto"/>
            <w:right w:val="none" w:sz="0" w:space="0" w:color="auto"/>
          </w:divBdr>
          <w:divsChild>
            <w:div w:id="427585616">
              <w:marLeft w:val="0"/>
              <w:marRight w:val="0"/>
              <w:marTop w:val="0"/>
              <w:marBottom w:val="0"/>
              <w:divBdr>
                <w:top w:val="none" w:sz="0" w:space="0" w:color="auto"/>
                <w:left w:val="none" w:sz="0" w:space="0" w:color="auto"/>
                <w:bottom w:val="none" w:sz="0" w:space="0" w:color="auto"/>
                <w:right w:val="none" w:sz="0" w:space="0" w:color="auto"/>
              </w:divBdr>
              <w:divsChild>
                <w:div w:id="370112070">
                  <w:marLeft w:val="0"/>
                  <w:marRight w:val="0"/>
                  <w:marTop w:val="0"/>
                  <w:marBottom w:val="0"/>
                  <w:divBdr>
                    <w:top w:val="none" w:sz="0" w:space="0" w:color="auto"/>
                    <w:left w:val="none" w:sz="0" w:space="0" w:color="auto"/>
                    <w:bottom w:val="none" w:sz="0" w:space="0" w:color="auto"/>
                    <w:right w:val="none" w:sz="0" w:space="0" w:color="auto"/>
                  </w:divBdr>
                  <w:divsChild>
                    <w:div w:id="2019694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2439609">
      <w:bodyDiv w:val="1"/>
      <w:marLeft w:val="0"/>
      <w:marRight w:val="0"/>
      <w:marTop w:val="0"/>
      <w:marBottom w:val="0"/>
      <w:divBdr>
        <w:top w:val="none" w:sz="0" w:space="0" w:color="auto"/>
        <w:left w:val="none" w:sz="0" w:space="0" w:color="auto"/>
        <w:bottom w:val="none" w:sz="0" w:space="0" w:color="auto"/>
        <w:right w:val="none" w:sz="0" w:space="0" w:color="auto"/>
      </w:divBdr>
      <w:divsChild>
        <w:div w:id="598026073">
          <w:marLeft w:val="0"/>
          <w:marRight w:val="0"/>
          <w:marTop w:val="0"/>
          <w:marBottom w:val="0"/>
          <w:divBdr>
            <w:top w:val="none" w:sz="0" w:space="0" w:color="auto"/>
            <w:left w:val="none" w:sz="0" w:space="0" w:color="auto"/>
            <w:bottom w:val="none" w:sz="0" w:space="0" w:color="auto"/>
            <w:right w:val="none" w:sz="0" w:space="0" w:color="auto"/>
          </w:divBdr>
          <w:divsChild>
            <w:div w:id="610670177">
              <w:marLeft w:val="0"/>
              <w:marRight w:val="0"/>
              <w:marTop w:val="0"/>
              <w:marBottom w:val="0"/>
              <w:divBdr>
                <w:top w:val="none" w:sz="0" w:space="0" w:color="auto"/>
                <w:left w:val="none" w:sz="0" w:space="0" w:color="auto"/>
                <w:bottom w:val="none" w:sz="0" w:space="0" w:color="auto"/>
                <w:right w:val="none" w:sz="0" w:space="0" w:color="auto"/>
              </w:divBdr>
              <w:divsChild>
                <w:div w:id="2009868552">
                  <w:marLeft w:val="0"/>
                  <w:marRight w:val="0"/>
                  <w:marTop w:val="0"/>
                  <w:marBottom w:val="0"/>
                  <w:divBdr>
                    <w:top w:val="none" w:sz="0" w:space="0" w:color="auto"/>
                    <w:left w:val="none" w:sz="0" w:space="0" w:color="auto"/>
                    <w:bottom w:val="none" w:sz="0" w:space="0" w:color="auto"/>
                    <w:right w:val="none" w:sz="0" w:space="0" w:color="auto"/>
                  </w:divBdr>
                  <w:divsChild>
                    <w:div w:id="794831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0963742">
      <w:bodyDiv w:val="1"/>
      <w:marLeft w:val="0"/>
      <w:marRight w:val="0"/>
      <w:marTop w:val="0"/>
      <w:marBottom w:val="0"/>
      <w:divBdr>
        <w:top w:val="none" w:sz="0" w:space="0" w:color="auto"/>
        <w:left w:val="none" w:sz="0" w:space="0" w:color="auto"/>
        <w:bottom w:val="none" w:sz="0" w:space="0" w:color="auto"/>
        <w:right w:val="none" w:sz="0" w:space="0" w:color="auto"/>
      </w:divBdr>
      <w:divsChild>
        <w:div w:id="1114324577">
          <w:marLeft w:val="0"/>
          <w:marRight w:val="0"/>
          <w:marTop w:val="0"/>
          <w:marBottom w:val="0"/>
          <w:divBdr>
            <w:top w:val="none" w:sz="0" w:space="0" w:color="auto"/>
            <w:left w:val="none" w:sz="0" w:space="0" w:color="auto"/>
            <w:bottom w:val="none" w:sz="0" w:space="0" w:color="auto"/>
            <w:right w:val="none" w:sz="0" w:space="0" w:color="auto"/>
          </w:divBdr>
          <w:divsChild>
            <w:div w:id="1435200838">
              <w:marLeft w:val="0"/>
              <w:marRight w:val="0"/>
              <w:marTop w:val="0"/>
              <w:marBottom w:val="0"/>
              <w:divBdr>
                <w:top w:val="none" w:sz="0" w:space="0" w:color="auto"/>
                <w:left w:val="none" w:sz="0" w:space="0" w:color="auto"/>
                <w:bottom w:val="none" w:sz="0" w:space="0" w:color="auto"/>
                <w:right w:val="none" w:sz="0" w:space="0" w:color="auto"/>
              </w:divBdr>
              <w:divsChild>
                <w:div w:id="1132790423">
                  <w:marLeft w:val="0"/>
                  <w:marRight w:val="0"/>
                  <w:marTop w:val="0"/>
                  <w:marBottom w:val="0"/>
                  <w:divBdr>
                    <w:top w:val="none" w:sz="0" w:space="0" w:color="auto"/>
                    <w:left w:val="none" w:sz="0" w:space="0" w:color="auto"/>
                    <w:bottom w:val="none" w:sz="0" w:space="0" w:color="auto"/>
                    <w:right w:val="none" w:sz="0" w:space="0" w:color="auto"/>
                  </w:divBdr>
                  <w:divsChild>
                    <w:div w:id="759914624">
                      <w:marLeft w:val="0"/>
                      <w:marRight w:val="0"/>
                      <w:marTop w:val="0"/>
                      <w:marBottom w:val="0"/>
                      <w:divBdr>
                        <w:top w:val="none" w:sz="0" w:space="0" w:color="auto"/>
                        <w:left w:val="none" w:sz="0" w:space="0" w:color="auto"/>
                        <w:bottom w:val="none" w:sz="0" w:space="0" w:color="auto"/>
                        <w:right w:val="none" w:sz="0" w:space="0" w:color="auto"/>
                      </w:divBdr>
                      <w:divsChild>
                        <w:div w:id="1092094240">
                          <w:marLeft w:val="0"/>
                          <w:marRight w:val="0"/>
                          <w:marTop w:val="0"/>
                          <w:marBottom w:val="0"/>
                          <w:divBdr>
                            <w:top w:val="none" w:sz="0" w:space="0" w:color="auto"/>
                            <w:left w:val="none" w:sz="0" w:space="0" w:color="auto"/>
                            <w:bottom w:val="none" w:sz="0" w:space="0" w:color="auto"/>
                            <w:right w:val="none" w:sz="0" w:space="0" w:color="auto"/>
                          </w:divBdr>
                          <w:divsChild>
                            <w:div w:id="2127504261">
                              <w:marLeft w:val="0"/>
                              <w:marRight w:val="0"/>
                              <w:marTop w:val="240"/>
                              <w:marBottom w:val="288"/>
                              <w:divBdr>
                                <w:top w:val="none" w:sz="0" w:space="0" w:color="auto"/>
                                <w:left w:val="none" w:sz="0" w:space="0" w:color="auto"/>
                                <w:bottom w:val="none" w:sz="0" w:space="0" w:color="auto"/>
                                <w:right w:val="none" w:sz="0" w:space="0" w:color="auto"/>
                              </w:divBdr>
                              <w:divsChild>
                                <w:div w:id="1757676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55380370">
      <w:bodyDiv w:val="1"/>
      <w:marLeft w:val="0"/>
      <w:marRight w:val="0"/>
      <w:marTop w:val="0"/>
      <w:marBottom w:val="0"/>
      <w:divBdr>
        <w:top w:val="none" w:sz="0" w:space="0" w:color="auto"/>
        <w:left w:val="none" w:sz="0" w:space="0" w:color="auto"/>
        <w:bottom w:val="none" w:sz="0" w:space="0" w:color="auto"/>
        <w:right w:val="none" w:sz="0" w:space="0" w:color="auto"/>
      </w:divBdr>
      <w:divsChild>
        <w:div w:id="555507676">
          <w:marLeft w:val="0"/>
          <w:marRight w:val="0"/>
          <w:marTop w:val="0"/>
          <w:marBottom w:val="0"/>
          <w:divBdr>
            <w:top w:val="none" w:sz="0" w:space="0" w:color="auto"/>
            <w:left w:val="none" w:sz="0" w:space="0" w:color="auto"/>
            <w:bottom w:val="none" w:sz="0" w:space="0" w:color="auto"/>
            <w:right w:val="none" w:sz="0" w:space="0" w:color="auto"/>
          </w:divBdr>
          <w:divsChild>
            <w:div w:id="904143969">
              <w:marLeft w:val="0"/>
              <w:marRight w:val="0"/>
              <w:marTop w:val="100"/>
              <w:marBottom w:val="100"/>
              <w:divBdr>
                <w:top w:val="none" w:sz="0" w:space="0" w:color="auto"/>
                <w:left w:val="none" w:sz="0" w:space="0" w:color="auto"/>
                <w:bottom w:val="none" w:sz="0" w:space="0" w:color="auto"/>
                <w:right w:val="none" w:sz="0" w:space="0" w:color="auto"/>
              </w:divBdr>
              <w:divsChild>
                <w:div w:id="982394884">
                  <w:marLeft w:val="0"/>
                  <w:marRight w:val="0"/>
                  <w:marTop w:val="0"/>
                  <w:marBottom w:val="0"/>
                  <w:divBdr>
                    <w:top w:val="none" w:sz="0" w:space="0" w:color="auto"/>
                    <w:left w:val="none" w:sz="0" w:space="0" w:color="auto"/>
                    <w:bottom w:val="none" w:sz="0" w:space="0" w:color="auto"/>
                    <w:right w:val="none" w:sz="0" w:space="0" w:color="auto"/>
                  </w:divBdr>
                  <w:divsChild>
                    <w:div w:id="1537541929">
                      <w:marLeft w:val="0"/>
                      <w:marRight w:val="0"/>
                      <w:marTop w:val="0"/>
                      <w:marBottom w:val="0"/>
                      <w:divBdr>
                        <w:top w:val="none" w:sz="0" w:space="0" w:color="auto"/>
                        <w:left w:val="none" w:sz="0" w:space="0" w:color="auto"/>
                        <w:bottom w:val="none" w:sz="0" w:space="0" w:color="auto"/>
                        <w:right w:val="none" w:sz="0" w:space="0" w:color="auto"/>
                      </w:divBdr>
                      <w:divsChild>
                        <w:div w:id="941954008">
                          <w:marLeft w:val="0"/>
                          <w:marRight w:val="0"/>
                          <w:marTop w:val="100"/>
                          <w:marBottom w:val="100"/>
                          <w:divBdr>
                            <w:top w:val="none" w:sz="0" w:space="0" w:color="auto"/>
                            <w:left w:val="none" w:sz="0" w:space="0" w:color="auto"/>
                            <w:bottom w:val="none" w:sz="0" w:space="0" w:color="auto"/>
                            <w:right w:val="none" w:sz="0" w:space="0" w:color="auto"/>
                          </w:divBdr>
                          <w:divsChild>
                            <w:div w:id="2137022135">
                              <w:marLeft w:val="0"/>
                              <w:marRight w:val="0"/>
                              <w:marTop w:val="0"/>
                              <w:marBottom w:val="0"/>
                              <w:divBdr>
                                <w:top w:val="none" w:sz="0" w:space="0" w:color="auto"/>
                                <w:left w:val="none" w:sz="0" w:space="0" w:color="auto"/>
                                <w:bottom w:val="none" w:sz="0" w:space="0" w:color="auto"/>
                                <w:right w:val="none" w:sz="0" w:space="0" w:color="auto"/>
                              </w:divBdr>
                              <w:divsChild>
                                <w:div w:id="268195840">
                                  <w:marLeft w:val="0"/>
                                  <w:marRight w:val="0"/>
                                  <w:marTop w:val="0"/>
                                  <w:marBottom w:val="120"/>
                                  <w:divBdr>
                                    <w:top w:val="none" w:sz="0" w:space="0" w:color="auto"/>
                                    <w:left w:val="none" w:sz="0" w:space="0" w:color="auto"/>
                                    <w:bottom w:val="none" w:sz="0" w:space="0" w:color="auto"/>
                                    <w:right w:val="none" w:sz="0" w:space="0" w:color="auto"/>
                                  </w:divBdr>
                                  <w:divsChild>
                                    <w:div w:id="1998797762">
                                      <w:marLeft w:val="0"/>
                                      <w:marRight w:val="0"/>
                                      <w:marTop w:val="0"/>
                                      <w:marBottom w:val="0"/>
                                      <w:divBdr>
                                        <w:top w:val="none" w:sz="0" w:space="0" w:color="auto"/>
                                        <w:left w:val="none" w:sz="0" w:space="0" w:color="auto"/>
                                        <w:bottom w:val="none" w:sz="0" w:space="0" w:color="auto"/>
                                        <w:right w:val="none" w:sz="0" w:space="0" w:color="auto"/>
                                      </w:divBdr>
                                    </w:div>
                                  </w:divsChild>
                                </w:div>
                                <w:div w:id="880214690">
                                  <w:marLeft w:val="0"/>
                                  <w:marRight w:val="0"/>
                                  <w:marTop w:val="0"/>
                                  <w:marBottom w:val="120"/>
                                  <w:divBdr>
                                    <w:top w:val="none" w:sz="0" w:space="0" w:color="auto"/>
                                    <w:left w:val="none" w:sz="0" w:space="0" w:color="auto"/>
                                    <w:bottom w:val="none" w:sz="0" w:space="0" w:color="auto"/>
                                    <w:right w:val="none" w:sz="0" w:space="0" w:color="auto"/>
                                  </w:divBdr>
                                  <w:divsChild>
                                    <w:div w:id="828592358">
                                      <w:marLeft w:val="0"/>
                                      <w:marRight w:val="0"/>
                                      <w:marTop w:val="0"/>
                                      <w:marBottom w:val="0"/>
                                      <w:divBdr>
                                        <w:top w:val="none" w:sz="0" w:space="0" w:color="auto"/>
                                        <w:left w:val="none" w:sz="0" w:space="0" w:color="auto"/>
                                        <w:bottom w:val="none" w:sz="0" w:space="0" w:color="auto"/>
                                        <w:right w:val="none" w:sz="0" w:space="0" w:color="auto"/>
                                      </w:divBdr>
                                    </w:div>
                                    <w:div w:id="712729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13118337">
      <w:bodyDiv w:val="1"/>
      <w:marLeft w:val="0"/>
      <w:marRight w:val="0"/>
      <w:marTop w:val="0"/>
      <w:marBottom w:val="0"/>
      <w:divBdr>
        <w:top w:val="none" w:sz="0" w:space="0" w:color="auto"/>
        <w:left w:val="none" w:sz="0" w:space="0" w:color="auto"/>
        <w:bottom w:val="none" w:sz="0" w:space="0" w:color="auto"/>
        <w:right w:val="none" w:sz="0" w:space="0" w:color="auto"/>
      </w:divBdr>
      <w:divsChild>
        <w:div w:id="214900669">
          <w:marLeft w:val="0"/>
          <w:marRight w:val="0"/>
          <w:marTop w:val="0"/>
          <w:marBottom w:val="0"/>
          <w:divBdr>
            <w:top w:val="none" w:sz="0" w:space="0" w:color="auto"/>
            <w:left w:val="none" w:sz="0" w:space="0" w:color="auto"/>
            <w:bottom w:val="none" w:sz="0" w:space="0" w:color="auto"/>
            <w:right w:val="none" w:sz="0" w:space="0" w:color="auto"/>
          </w:divBdr>
          <w:divsChild>
            <w:div w:id="1106577188">
              <w:marLeft w:val="0"/>
              <w:marRight w:val="0"/>
              <w:marTop w:val="0"/>
              <w:marBottom w:val="0"/>
              <w:divBdr>
                <w:top w:val="none" w:sz="0" w:space="0" w:color="auto"/>
                <w:left w:val="none" w:sz="0" w:space="0" w:color="auto"/>
                <w:bottom w:val="none" w:sz="0" w:space="0" w:color="auto"/>
                <w:right w:val="none" w:sz="0" w:space="0" w:color="auto"/>
              </w:divBdr>
              <w:divsChild>
                <w:div w:id="854878153">
                  <w:marLeft w:val="0"/>
                  <w:marRight w:val="0"/>
                  <w:marTop w:val="0"/>
                  <w:marBottom w:val="0"/>
                  <w:divBdr>
                    <w:top w:val="none" w:sz="0" w:space="0" w:color="auto"/>
                    <w:left w:val="none" w:sz="0" w:space="0" w:color="auto"/>
                    <w:bottom w:val="none" w:sz="0" w:space="0" w:color="auto"/>
                    <w:right w:val="none" w:sz="0" w:space="0" w:color="auto"/>
                  </w:divBdr>
                  <w:divsChild>
                    <w:div w:id="1950549114">
                      <w:marLeft w:val="0"/>
                      <w:marRight w:val="0"/>
                      <w:marTop w:val="0"/>
                      <w:marBottom w:val="0"/>
                      <w:divBdr>
                        <w:top w:val="none" w:sz="0" w:space="0" w:color="auto"/>
                        <w:left w:val="none" w:sz="0" w:space="0" w:color="auto"/>
                        <w:bottom w:val="none" w:sz="0" w:space="0" w:color="auto"/>
                        <w:right w:val="none" w:sz="0" w:space="0" w:color="auto"/>
                      </w:divBdr>
                      <w:divsChild>
                        <w:div w:id="1444575466">
                          <w:marLeft w:val="0"/>
                          <w:marRight w:val="0"/>
                          <w:marTop w:val="0"/>
                          <w:marBottom w:val="0"/>
                          <w:divBdr>
                            <w:top w:val="none" w:sz="0" w:space="0" w:color="auto"/>
                            <w:left w:val="none" w:sz="0" w:space="0" w:color="auto"/>
                            <w:bottom w:val="none" w:sz="0" w:space="0" w:color="auto"/>
                            <w:right w:val="none" w:sz="0" w:space="0" w:color="auto"/>
                          </w:divBdr>
                          <w:divsChild>
                            <w:div w:id="1358310368">
                              <w:marLeft w:val="0"/>
                              <w:marRight w:val="0"/>
                              <w:marTop w:val="0"/>
                              <w:marBottom w:val="0"/>
                              <w:divBdr>
                                <w:top w:val="none" w:sz="0" w:space="0" w:color="auto"/>
                                <w:left w:val="none" w:sz="0" w:space="0" w:color="auto"/>
                                <w:bottom w:val="none" w:sz="0" w:space="0" w:color="auto"/>
                                <w:right w:val="none" w:sz="0" w:space="0" w:color="auto"/>
                              </w:divBdr>
                            </w:div>
                          </w:divsChild>
                        </w:div>
                        <w:div w:id="1736127200">
                          <w:marLeft w:val="0"/>
                          <w:marRight w:val="0"/>
                          <w:marTop w:val="0"/>
                          <w:marBottom w:val="0"/>
                          <w:divBdr>
                            <w:top w:val="none" w:sz="0" w:space="0" w:color="auto"/>
                            <w:left w:val="none" w:sz="0" w:space="0" w:color="auto"/>
                            <w:bottom w:val="none" w:sz="0" w:space="0" w:color="auto"/>
                            <w:right w:val="none" w:sz="0" w:space="0" w:color="auto"/>
                          </w:divBdr>
                        </w:div>
                        <w:div w:id="31151613">
                          <w:marLeft w:val="0"/>
                          <w:marRight w:val="0"/>
                          <w:marTop w:val="0"/>
                          <w:marBottom w:val="0"/>
                          <w:divBdr>
                            <w:top w:val="none" w:sz="0" w:space="0" w:color="auto"/>
                            <w:left w:val="none" w:sz="0" w:space="0" w:color="auto"/>
                            <w:bottom w:val="none" w:sz="0" w:space="0" w:color="auto"/>
                            <w:right w:val="none" w:sz="0" w:space="0" w:color="auto"/>
                          </w:divBdr>
                          <w:divsChild>
                            <w:div w:id="854810561">
                              <w:marLeft w:val="0"/>
                              <w:marRight w:val="0"/>
                              <w:marTop w:val="0"/>
                              <w:marBottom w:val="0"/>
                              <w:divBdr>
                                <w:top w:val="none" w:sz="0" w:space="0" w:color="auto"/>
                                <w:left w:val="none" w:sz="0" w:space="0" w:color="auto"/>
                                <w:bottom w:val="none" w:sz="0" w:space="0" w:color="auto"/>
                                <w:right w:val="none" w:sz="0" w:space="0" w:color="auto"/>
                              </w:divBdr>
                              <w:divsChild>
                                <w:div w:id="1242791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79451190">
      <w:bodyDiv w:val="1"/>
      <w:marLeft w:val="0"/>
      <w:marRight w:val="0"/>
      <w:marTop w:val="0"/>
      <w:marBottom w:val="0"/>
      <w:divBdr>
        <w:top w:val="none" w:sz="0" w:space="0" w:color="auto"/>
        <w:left w:val="none" w:sz="0" w:space="0" w:color="auto"/>
        <w:bottom w:val="none" w:sz="0" w:space="0" w:color="auto"/>
        <w:right w:val="none" w:sz="0" w:space="0" w:color="auto"/>
      </w:divBdr>
      <w:divsChild>
        <w:div w:id="1357998976">
          <w:marLeft w:val="0"/>
          <w:marRight w:val="0"/>
          <w:marTop w:val="0"/>
          <w:marBottom w:val="0"/>
          <w:divBdr>
            <w:top w:val="none" w:sz="0" w:space="0" w:color="auto"/>
            <w:left w:val="none" w:sz="0" w:space="0" w:color="auto"/>
            <w:bottom w:val="none" w:sz="0" w:space="0" w:color="auto"/>
            <w:right w:val="none" w:sz="0" w:space="0" w:color="auto"/>
          </w:divBdr>
          <w:divsChild>
            <w:div w:id="1687635982">
              <w:marLeft w:val="0"/>
              <w:marRight w:val="0"/>
              <w:marTop w:val="0"/>
              <w:marBottom w:val="0"/>
              <w:divBdr>
                <w:top w:val="none" w:sz="0" w:space="0" w:color="auto"/>
                <w:left w:val="none" w:sz="0" w:space="0" w:color="auto"/>
                <w:bottom w:val="none" w:sz="0" w:space="0" w:color="auto"/>
                <w:right w:val="none" w:sz="0" w:space="0" w:color="auto"/>
              </w:divBdr>
              <w:divsChild>
                <w:div w:id="206650449">
                  <w:marLeft w:val="0"/>
                  <w:marRight w:val="0"/>
                  <w:marTop w:val="0"/>
                  <w:marBottom w:val="0"/>
                  <w:divBdr>
                    <w:top w:val="none" w:sz="0" w:space="0" w:color="auto"/>
                    <w:left w:val="none" w:sz="0" w:space="0" w:color="auto"/>
                    <w:bottom w:val="none" w:sz="0" w:space="0" w:color="auto"/>
                    <w:right w:val="none" w:sz="0" w:space="0" w:color="auto"/>
                  </w:divBdr>
                </w:div>
                <w:div w:id="334309453">
                  <w:marLeft w:val="0"/>
                  <w:marRight w:val="0"/>
                  <w:marTop w:val="0"/>
                  <w:marBottom w:val="0"/>
                  <w:divBdr>
                    <w:top w:val="none" w:sz="0" w:space="0" w:color="auto"/>
                    <w:left w:val="none" w:sz="0" w:space="0" w:color="auto"/>
                    <w:bottom w:val="none" w:sz="0" w:space="0" w:color="auto"/>
                    <w:right w:val="none" w:sz="0" w:space="0" w:color="auto"/>
                  </w:divBdr>
                </w:div>
                <w:div w:id="44558600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182204887">
      <w:bodyDiv w:val="1"/>
      <w:marLeft w:val="0"/>
      <w:marRight w:val="0"/>
      <w:marTop w:val="0"/>
      <w:marBottom w:val="0"/>
      <w:divBdr>
        <w:top w:val="none" w:sz="0" w:space="0" w:color="auto"/>
        <w:left w:val="none" w:sz="0" w:space="0" w:color="auto"/>
        <w:bottom w:val="none" w:sz="0" w:space="0" w:color="auto"/>
        <w:right w:val="none" w:sz="0" w:space="0" w:color="auto"/>
      </w:divBdr>
      <w:divsChild>
        <w:div w:id="779573679">
          <w:marLeft w:val="0"/>
          <w:marRight w:val="0"/>
          <w:marTop w:val="0"/>
          <w:marBottom w:val="0"/>
          <w:divBdr>
            <w:top w:val="none" w:sz="0" w:space="0" w:color="auto"/>
            <w:left w:val="none" w:sz="0" w:space="0" w:color="auto"/>
            <w:bottom w:val="none" w:sz="0" w:space="0" w:color="auto"/>
            <w:right w:val="none" w:sz="0" w:space="0" w:color="auto"/>
          </w:divBdr>
          <w:divsChild>
            <w:div w:id="1402950603">
              <w:marLeft w:val="0"/>
              <w:marRight w:val="0"/>
              <w:marTop w:val="0"/>
              <w:marBottom w:val="0"/>
              <w:divBdr>
                <w:top w:val="none" w:sz="0" w:space="0" w:color="auto"/>
                <w:left w:val="none" w:sz="0" w:space="0" w:color="auto"/>
                <w:bottom w:val="none" w:sz="0" w:space="0" w:color="auto"/>
                <w:right w:val="none" w:sz="0" w:space="0" w:color="auto"/>
              </w:divBdr>
              <w:divsChild>
                <w:div w:id="4794421">
                  <w:marLeft w:val="0"/>
                  <w:marRight w:val="0"/>
                  <w:marTop w:val="0"/>
                  <w:marBottom w:val="0"/>
                  <w:divBdr>
                    <w:top w:val="none" w:sz="0" w:space="0" w:color="auto"/>
                    <w:left w:val="none" w:sz="0" w:space="0" w:color="auto"/>
                    <w:bottom w:val="none" w:sz="0" w:space="0" w:color="auto"/>
                    <w:right w:val="none" w:sz="0" w:space="0" w:color="auto"/>
                  </w:divBdr>
                  <w:divsChild>
                    <w:div w:id="400255550">
                      <w:marLeft w:val="0"/>
                      <w:marRight w:val="0"/>
                      <w:marTop w:val="0"/>
                      <w:marBottom w:val="0"/>
                      <w:divBdr>
                        <w:top w:val="none" w:sz="0" w:space="0" w:color="auto"/>
                        <w:left w:val="none" w:sz="0" w:space="0" w:color="auto"/>
                        <w:bottom w:val="none" w:sz="0" w:space="0" w:color="auto"/>
                        <w:right w:val="none" w:sz="0" w:space="0" w:color="auto"/>
                      </w:divBdr>
                      <w:divsChild>
                        <w:div w:id="813136782">
                          <w:marLeft w:val="420"/>
                          <w:marRight w:val="420"/>
                          <w:marTop w:val="0"/>
                          <w:marBottom w:val="420"/>
                          <w:divBdr>
                            <w:top w:val="none" w:sz="0" w:space="0" w:color="auto"/>
                            <w:left w:val="none" w:sz="0" w:space="0" w:color="auto"/>
                            <w:bottom w:val="none" w:sz="0" w:space="0" w:color="auto"/>
                            <w:right w:val="none" w:sz="0" w:space="0" w:color="auto"/>
                          </w:divBdr>
                          <w:divsChild>
                            <w:div w:id="913125063">
                              <w:marLeft w:val="0"/>
                              <w:marRight w:val="1200"/>
                              <w:marTop w:val="0"/>
                              <w:marBottom w:val="0"/>
                              <w:divBdr>
                                <w:top w:val="none" w:sz="0" w:space="0" w:color="auto"/>
                                <w:left w:val="none" w:sz="0" w:space="0" w:color="auto"/>
                                <w:bottom w:val="none" w:sz="0" w:space="0" w:color="auto"/>
                                <w:right w:val="none" w:sz="0" w:space="0" w:color="auto"/>
                              </w:divBdr>
                              <w:divsChild>
                                <w:div w:id="1175998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9088440">
                  <w:marLeft w:val="0"/>
                  <w:marRight w:val="0"/>
                  <w:marTop w:val="0"/>
                  <w:marBottom w:val="0"/>
                  <w:divBdr>
                    <w:top w:val="none" w:sz="0" w:space="0" w:color="auto"/>
                    <w:left w:val="none" w:sz="0" w:space="0" w:color="auto"/>
                    <w:bottom w:val="none" w:sz="0" w:space="0" w:color="auto"/>
                    <w:right w:val="none" w:sz="0" w:space="0" w:color="auto"/>
                  </w:divBdr>
                  <w:divsChild>
                    <w:div w:id="1035350416">
                      <w:marLeft w:val="5"/>
                      <w:marRight w:val="0"/>
                      <w:marTop w:val="0"/>
                      <w:marBottom w:val="0"/>
                      <w:divBdr>
                        <w:top w:val="none" w:sz="0" w:space="0" w:color="auto"/>
                        <w:left w:val="none" w:sz="0" w:space="0" w:color="auto"/>
                        <w:bottom w:val="none" w:sz="0" w:space="0" w:color="auto"/>
                        <w:right w:val="none" w:sz="0" w:space="0" w:color="auto"/>
                      </w:divBdr>
                      <w:divsChild>
                        <w:div w:id="872228864">
                          <w:marLeft w:val="300"/>
                          <w:marRight w:val="300"/>
                          <w:marTop w:val="300"/>
                          <w:marBottom w:val="300"/>
                          <w:divBdr>
                            <w:top w:val="none" w:sz="0" w:space="0" w:color="auto"/>
                            <w:left w:val="none" w:sz="0" w:space="0" w:color="auto"/>
                            <w:bottom w:val="none" w:sz="0" w:space="0" w:color="auto"/>
                            <w:right w:val="none" w:sz="0" w:space="0" w:color="auto"/>
                          </w:divBdr>
                          <w:divsChild>
                            <w:div w:id="461464221">
                              <w:marLeft w:val="0"/>
                              <w:marRight w:val="0"/>
                              <w:marTop w:val="0"/>
                              <w:marBottom w:val="0"/>
                              <w:divBdr>
                                <w:top w:val="none" w:sz="0" w:space="0" w:color="auto"/>
                                <w:left w:val="none" w:sz="0" w:space="0" w:color="auto"/>
                                <w:bottom w:val="none" w:sz="0" w:space="0" w:color="auto"/>
                                <w:right w:val="none" w:sz="0" w:space="0" w:color="auto"/>
                              </w:divBdr>
                              <w:divsChild>
                                <w:div w:id="2127693198">
                                  <w:marLeft w:val="0"/>
                                  <w:marRight w:val="0"/>
                                  <w:marTop w:val="0"/>
                                  <w:marBottom w:val="15"/>
                                  <w:divBdr>
                                    <w:top w:val="none" w:sz="0" w:space="0" w:color="auto"/>
                                    <w:left w:val="none" w:sz="0" w:space="0" w:color="auto"/>
                                    <w:bottom w:val="none" w:sz="0" w:space="0" w:color="auto"/>
                                    <w:right w:val="none" w:sz="0" w:space="0" w:color="auto"/>
                                  </w:divBdr>
                                </w:div>
                                <w:div w:id="632561730">
                                  <w:marLeft w:val="0"/>
                                  <w:marRight w:val="0"/>
                                  <w:marTop w:val="0"/>
                                  <w:marBottom w:val="0"/>
                                  <w:divBdr>
                                    <w:top w:val="none" w:sz="0" w:space="0" w:color="auto"/>
                                    <w:left w:val="none" w:sz="0" w:space="0" w:color="auto"/>
                                    <w:bottom w:val="none" w:sz="0" w:space="0" w:color="auto"/>
                                    <w:right w:val="none" w:sz="0" w:space="0" w:color="auto"/>
                                  </w:divBdr>
                                </w:div>
                                <w:div w:id="219172974">
                                  <w:marLeft w:val="0"/>
                                  <w:marRight w:val="0"/>
                                  <w:marTop w:val="90"/>
                                  <w:marBottom w:val="90"/>
                                  <w:divBdr>
                                    <w:top w:val="none" w:sz="0" w:space="0" w:color="auto"/>
                                    <w:left w:val="none" w:sz="0" w:space="0" w:color="auto"/>
                                    <w:bottom w:val="none" w:sz="0" w:space="0" w:color="auto"/>
                                    <w:right w:val="none" w:sz="0" w:space="0" w:color="auto"/>
                                  </w:divBdr>
                                </w:div>
                              </w:divsChild>
                            </w:div>
                          </w:divsChild>
                        </w:div>
                        <w:div w:id="1878005897">
                          <w:marLeft w:val="0"/>
                          <w:marRight w:val="0"/>
                          <w:marTop w:val="0"/>
                          <w:marBottom w:val="0"/>
                          <w:divBdr>
                            <w:top w:val="single" w:sz="6" w:space="8" w:color="CCCCCC"/>
                            <w:left w:val="none" w:sz="0" w:space="0" w:color="auto"/>
                            <w:bottom w:val="none" w:sz="0" w:space="0" w:color="auto"/>
                            <w:right w:val="none" w:sz="0" w:space="0" w:color="auto"/>
                          </w:divBdr>
                          <w:divsChild>
                            <w:div w:id="645741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8626852">
                  <w:marLeft w:val="0"/>
                  <w:marRight w:val="0"/>
                  <w:marTop w:val="0"/>
                  <w:marBottom w:val="0"/>
                  <w:divBdr>
                    <w:top w:val="none" w:sz="0" w:space="0" w:color="auto"/>
                    <w:left w:val="none" w:sz="0" w:space="0" w:color="auto"/>
                    <w:bottom w:val="none" w:sz="0" w:space="0" w:color="auto"/>
                    <w:right w:val="none" w:sz="0" w:space="0" w:color="auto"/>
                  </w:divBdr>
                  <w:divsChild>
                    <w:div w:id="397749895">
                      <w:marLeft w:val="0"/>
                      <w:marRight w:val="0"/>
                      <w:marTop w:val="0"/>
                      <w:marBottom w:val="0"/>
                      <w:divBdr>
                        <w:top w:val="none" w:sz="0" w:space="0" w:color="auto"/>
                        <w:left w:val="none" w:sz="0" w:space="0" w:color="auto"/>
                        <w:bottom w:val="none" w:sz="0" w:space="0" w:color="auto"/>
                        <w:right w:val="none" w:sz="0" w:space="0" w:color="auto"/>
                      </w:divBdr>
                      <w:divsChild>
                        <w:div w:id="828834526">
                          <w:marLeft w:val="0"/>
                          <w:marRight w:val="0"/>
                          <w:marTop w:val="0"/>
                          <w:marBottom w:val="0"/>
                          <w:divBdr>
                            <w:top w:val="none" w:sz="0" w:space="0" w:color="auto"/>
                            <w:left w:val="none" w:sz="0" w:space="0" w:color="auto"/>
                            <w:bottom w:val="none" w:sz="0" w:space="0" w:color="auto"/>
                            <w:right w:val="none" w:sz="0" w:space="0" w:color="auto"/>
                          </w:divBdr>
                          <w:divsChild>
                            <w:div w:id="1681851884">
                              <w:marLeft w:val="0"/>
                              <w:marRight w:val="0"/>
                              <w:marTop w:val="0"/>
                              <w:marBottom w:val="0"/>
                              <w:divBdr>
                                <w:top w:val="none" w:sz="0" w:space="0" w:color="auto"/>
                                <w:left w:val="none" w:sz="0" w:space="0" w:color="auto"/>
                                <w:bottom w:val="none" w:sz="0" w:space="0" w:color="auto"/>
                                <w:right w:val="none" w:sz="0" w:space="0" w:color="auto"/>
                              </w:divBdr>
                              <w:divsChild>
                                <w:div w:id="684133502">
                                  <w:marLeft w:val="0"/>
                                  <w:marRight w:val="0"/>
                                  <w:marTop w:val="0"/>
                                  <w:marBottom w:val="0"/>
                                  <w:divBdr>
                                    <w:top w:val="none" w:sz="0" w:space="0" w:color="auto"/>
                                    <w:left w:val="none" w:sz="0" w:space="0" w:color="auto"/>
                                    <w:bottom w:val="none" w:sz="0" w:space="0" w:color="auto"/>
                                    <w:right w:val="none" w:sz="0" w:space="0" w:color="auto"/>
                                  </w:divBdr>
                                </w:div>
                                <w:div w:id="1078864828">
                                  <w:marLeft w:val="0"/>
                                  <w:marRight w:val="0"/>
                                  <w:marTop w:val="0"/>
                                  <w:marBottom w:val="0"/>
                                  <w:divBdr>
                                    <w:top w:val="none" w:sz="0" w:space="0" w:color="auto"/>
                                    <w:left w:val="none" w:sz="0" w:space="0" w:color="auto"/>
                                    <w:bottom w:val="none" w:sz="0" w:space="0" w:color="auto"/>
                                    <w:right w:val="none" w:sz="0" w:space="0" w:color="auto"/>
                                  </w:divBdr>
                                  <w:divsChild>
                                    <w:div w:id="1772123393">
                                      <w:marLeft w:val="0"/>
                                      <w:marRight w:val="0"/>
                                      <w:marTop w:val="0"/>
                                      <w:marBottom w:val="0"/>
                                      <w:divBdr>
                                        <w:top w:val="single" w:sz="6" w:space="0" w:color="CDCDCD"/>
                                        <w:left w:val="single" w:sz="6" w:space="0" w:color="CDCDCD"/>
                                        <w:bottom w:val="single" w:sz="6" w:space="0" w:color="CDCDCD"/>
                                        <w:right w:val="single" w:sz="2" w:space="0" w:color="CDCDCD"/>
                                      </w:divBdr>
                                      <w:divsChild>
                                        <w:div w:id="1347750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58924013">
          <w:marLeft w:val="0"/>
          <w:marRight w:val="0"/>
          <w:marTop w:val="0"/>
          <w:marBottom w:val="0"/>
          <w:divBdr>
            <w:top w:val="none" w:sz="0" w:space="0" w:color="auto"/>
            <w:left w:val="none" w:sz="0" w:space="0" w:color="auto"/>
            <w:bottom w:val="none" w:sz="0" w:space="0" w:color="auto"/>
            <w:right w:val="none" w:sz="0" w:space="0" w:color="auto"/>
          </w:divBdr>
        </w:div>
        <w:div w:id="202252273">
          <w:marLeft w:val="0"/>
          <w:marRight w:val="0"/>
          <w:marTop w:val="0"/>
          <w:marBottom w:val="0"/>
          <w:divBdr>
            <w:top w:val="none" w:sz="0" w:space="0" w:color="auto"/>
            <w:left w:val="none" w:sz="0" w:space="0" w:color="auto"/>
            <w:bottom w:val="none" w:sz="0" w:space="0" w:color="auto"/>
            <w:right w:val="none" w:sz="0" w:space="0" w:color="auto"/>
          </w:divBdr>
          <w:divsChild>
            <w:div w:id="1156532630">
              <w:marLeft w:val="0"/>
              <w:marRight w:val="0"/>
              <w:marTop w:val="0"/>
              <w:marBottom w:val="0"/>
              <w:divBdr>
                <w:top w:val="none" w:sz="0" w:space="0" w:color="auto"/>
                <w:left w:val="none" w:sz="0" w:space="0" w:color="auto"/>
                <w:bottom w:val="none" w:sz="0" w:space="0" w:color="auto"/>
                <w:right w:val="none" w:sz="0" w:space="0" w:color="auto"/>
              </w:divBdr>
              <w:divsChild>
                <w:div w:id="1403330884">
                  <w:marLeft w:val="0"/>
                  <w:marRight w:val="0"/>
                  <w:marTop w:val="0"/>
                  <w:marBottom w:val="0"/>
                  <w:divBdr>
                    <w:top w:val="none" w:sz="0" w:space="0" w:color="auto"/>
                    <w:left w:val="none" w:sz="0" w:space="0" w:color="auto"/>
                    <w:bottom w:val="none" w:sz="0" w:space="0" w:color="auto"/>
                    <w:right w:val="none" w:sz="0" w:space="0" w:color="auto"/>
                  </w:divBdr>
                  <w:divsChild>
                    <w:div w:id="70590827">
                      <w:marLeft w:val="0"/>
                      <w:marRight w:val="0"/>
                      <w:marTop w:val="0"/>
                      <w:marBottom w:val="0"/>
                      <w:divBdr>
                        <w:top w:val="none" w:sz="0" w:space="0" w:color="auto"/>
                        <w:left w:val="none" w:sz="0" w:space="0" w:color="auto"/>
                        <w:bottom w:val="none" w:sz="0" w:space="0" w:color="auto"/>
                        <w:right w:val="none" w:sz="0" w:space="0" w:color="auto"/>
                      </w:divBdr>
                    </w:div>
                    <w:div w:id="426929714">
                      <w:marLeft w:val="0"/>
                      <w:marRight w:val="0"/>
                      <w:marTop w:val="0"/>
                      <w:marBottom w:val="0"/>
                      <w:divBdr>
                        <w:top w:val="none" w:sz="0" w:space="0" w:color="auto"/>
                        <w:left w:val="none" w:sz="0" w:space="0" w:color="auto"/>
                        <w:bottom w:val="none" w:sz="0" w:space="0" w:color="auto"/>
                        <w:right w:val="none" w:sz="0" w:space="0" w:color="auto"/>
                      </w:divBdr>
                    </w:div>
                    <w:div w:id="792796976">
                      <w:marLeft w:val="0"/>
                      <w:marRight w:val="0"/>
                      <w:marTop w:val="0"/>
                      <w:marBottom w:val="0"/>
                      <w:divBdr>
                        <w:top w:val="none" w:sz="0" w:space="0" w:color="auto"/>
                        <w:left w:val="none" w:sz="0" w:space="0" w:color="auto"/>
                        <w:bottom w:val="none" w:sz="0" w:space="0" w:color="auto"/>
                        <w:right w:val="none" w:sz="0" w:space="0" w:color="auto"/>
                      </w:divBdr>
                    </w:div>
                    <w:div w:id="215746074">
                      <w:marLeft w:val="0"/>
                      <w:marRight w:val="0"/>
                      <w:marTop w:val="0"/>
                      <w:marBottom w:val="0"/>
                      <w:divBdr>
                        <w:top w:val="none" w:sz="0" w:space="0" w:color="auto"/>
                        <w:left w:val="none" w:sz="0" w:space="0" w:color="auto"/>
                        <w:bottom w:val="none" w:sz="0" w:space="0" w:color="auto"/>
                        <w:right w:val="none" w:sz="0" w:space="0" w:color="auto"/>
                      </w:divBdr>
                    </w:div>
                    <w:div w:id="485434061">
                      <w:marLeft w:val="0"/>
                      <w:marRight w:val="0"/>
                      <w:marTop w:val="0"/>
                      <w:marBottom w:val="0"/>
                      <w:divBdr>
                        <w:top w:val="none" w:sz="0" w:space="0" w:color="auto"/>
                        <w:left w:val="none" w:sz="0" w:space="0" w:color="auto"/>
                        <w:bottom w:val="none" w:sz="0" w:space="0" w:color="auto"/>
                        <w:right w:val="none" w:sz="0" w:space="0" w:color="auto"/>
                      </w:divBdr>
                    </w:div>
                    <w:div w:id="326979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532874">
              <w:marLeft w:val="0"/>
              <w:marRight w:val="0"/>
              <w:marTop w:val="0"/>
              <w:marBottom w:val="0"/>
              <w:divBdr>
                <w:top w:val="none" w:sz="0" w:space="0" w:color="auto"/>
                <w:left w:val="none" w:sz="0" w:space="0" w:color="auto"/>
                <w:bottom w:val="none" w:sz="0" w:space="0" w:color="auto"/>
                <w:right w:val="none" w:sz="0" w:space="0" w:color="auto"/>
              </w:divBdr>
              <w:divsChild>
                <w:div w:id="46227721">
                  <w:marLeft w:val="0"/>
                  <w:marRight w:val="0"/>
                  <w:marTop w:val="0"/>
                  <w:marBottom w:val="0"/>
                  <w:divBdr>
                    <w:top w:val="none" w:sz="0" w:space="0" w:color="auto"/>
                    <w:left w:val="none" w:sz="0" w:space="0" w:color="auto"/>
                    <w:bottom w:val="none" w:sz="0" w:space="0" w:color="auto"/>
                    <w:right w:val="none" w:sz="0" w:space="0" w:color="auto"/>
                  </w:divBdr>
                  <w:divsChild>
                    <w:div w:id="531962049">
                      <w:marLeft w:val="0"/>
                      <w:marRight w:val="0"/>
                      <w:marTop w:val="0"/>
                      <w:marBottom w:val="0"/>
                      <w:divBdr>
                        <w:top w:val="none" w:sz="0" w:space="0" w:color="auto"/>
                        <w:left w:val="none" w:sz="0" w:space="0" w:color="auto"/>
                        <w:bottom w:val="none" w:sz="0" w:space="0" w:color="auto"/>
                        <w:right w:val="none" w:sz="0" w:space="0" w:color="auto"/>
                      </w:divBdr>
                    </w:div>
                    <w:div w:id="904991233">
                      <w:marLeft w:val="0"/>
                      <w:marRight w:val="0"/>
                      <w:marTop w:val="0"/>
                      <w:marBottom w:val="0"/>
                      <w:divBdr>
                        <w:top w:val="none" w:sz="0" w:space="0" w:color="auto"/>
                        <w:left w:val="none" w:sz="0" w:space="0" w:color="auto"/>
                        <w:bottom w:val="none" w:sz="0" w:space="0" w:color="auto"/>
                        <w:right w:val="none" w:sz="0" w:space="0" w:color="auto"/>
                      </w:divBdr>
                    </w:div>
                    <w:div w:id="920874296">
                      <w:marLeft w:val="0"/>
                      <w:marRight w:val="0"/>
                      <w:marTop w:val="0"/>
                      <w:marBottom w:val="0"/>
                      <w:divBdr>
                        <w:top w:val="none" w:sz="0" w:space="0" w:color="auto"/>
                        <w:left w:val="none" w:sz="0" w:space="0" w:color="auto"/>
                        <w:bottom w:val="none" w:sz="0" w:space="0" w:color="auto"/>
                        <w:right w:val="none" w:sz="0" w:space="0" w:color="auto"/>
                      </w:divBdr>
                    </w:div>
                    <w:div w:id="1884439370">
                      <w:marLeft w:val="0"/>
                      <w:marRight w:val="0"/>
                      <w:marTop w:val="0"/>
                      <w:marBottom w:val="0"/>
                      <w:divBdr>
                        <w:top w:val="none" w:sz="0" w:space="0" w:color="auto"/>
                        <w:left w:val="none" w:sz="0" w:space="0" w:color="auto"/>
                        <w:bottom w:val="none" w:sz="0" w:space="0" w:color="auto"/>
                        <w:right w:val="none" w:sz="0" w:space="0" w:color="auto"/>
                      </w:divBdr>
                      <w:divsChild>
                        <w:div w:id="536048930">
                          <w:marLeft w:val="0"/>
                          <w:marRight w:val="0"/>
                          <w:marTop w:val="0"/>
                          <w:marBottom w:val="0"/>
                          <w:divBdr>
                            <w:top w:val="none" w:sz="0" w:space="0" w:color="auto"/>
                            <w:left w:val="none" w:sz="0" w:space="0" w:color="auto"/>
                            <w:bottom w:val="none" w:sz="0" w:space="0" w:color="auto"/>
                            <w:right w:val="none" w:sz="0" w:space="0" w:color="auto"/>
                          </w:divBdr>
                        </w:div>
                        <w:div w:id="1456411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2590467">
          <w:marLeft w:val="0"/>
          <w:marRight w:val="0"/>
          <w:marTop w:val="0"/>
          <w:marBottom w:val="0"/>
          <w:divBdr>
            <w:top w:val="none" w:sz="0" w:space="0" w:color="auto"/>
            <w:left w:val="none" w:sz="0" w:space="0" w:color="auto"/>
            <w:bottom w:val="none" w:sz="0" w:space="0" w:color="auto"/>
            <w:right w:val="none" w:sz="0" w:space="0" w:color="auto"/>
          </w:divBdr>
        </w:div>
        <w:div w:id="1347752902">
          <w:marLeft w:val="0"/>
          <w:marRight w:val="0"/>
          <w:marTop w:val="0"/>
          <w:marBottom w:val="0"/>
          <w:divBdr>
            <w:top w:val="none" w:sz="0" w:space="0" w:color="auto"/>
            <w:left w:val="none" w:sz="0" w:space="0" w:color="auto"/>
            <w:bottom w:val="none" w:sz="0" w:space="0" w:color="auto"/>
            <w:right w:val="none" w:sz="0" w:space="0" w:color="auto"/>
          </w:divBdr>
        </w:div>
        <w:div w:id="645092729">
          <w:marLeft w:val="0"/>
          <w:marRight w:val="0"/>
          <w:marTop w:val="0"/>
          <w:marBottom w:val="0"/>
          <w:divBdr>
            <w:top w:val="single" w:sz="6" w:space="0" w:color="D9D9D9"/>
            <w:left w:val="single" w:sz="6" w:space="0" w:color="D9D9D9"/>
            <w:bottom w:val="single" w:sz="6" w:space="0" w:color="D9D9D9"/>
            <w:right w:val="single" w:sz="6" w:space="0" w:color="D9D9D9"/>
          </w:divBdr>
          <w:divsChild>
            <w:div w:id="452678391">
              <w:marLeft w:val="0"/>
              <w:marRight w:val="0"/>
              <w:marTop w:val="0"/>
              <w:marBottom w:val="0"/>
              <w:divBdr>
                <w:top w:val="none" w:sz="0" w:space="0" w:color="auto"/>
                <w:left w:val="none" w:sz="0" w:space="0" w:color="auto"/>
                <w:bottom w:val="none" w:sz="0" w:space="0" w:color="auto"/>
                <w:right w:val="none" w:sz="0" w:space="0" w:color="auto"/>
              </w:divBdr>
              <w:divsChild>
                <w:div w:id="1840194912">
                  <w:marLeft w:val="0"/>
                  <w:marRight w:val="0"/>
                  <w:marTop w:val="180"/>
                  <w:marBottom w:val="0"/>
                  <w:divBdr>
                    <w:top w:val="none" w:sz="0" w:space="0" w:color="auto"/>
                    <w:left w:val="none" w:sz="0" w:space="0" w:color="auto"/>
                    <w:bottom w:val="none" w:sz="0" w:space="0" w:color="auto"/>
                    <w:right w:val="none" w:sz="0" w:space="0" w:color="auto"/>
                  </w:divBdr>
                </w:div>
              </w:divsChild>
            </w:div>
            <w:div w:id="1933202415">
              <w:marLeft w:val="0"/>
              <w:marRight w:val="0"/>
              <w:marTop w:val="0"/>
              <w:marBottom w:val="0"/>
              <w:divBdr>
                <w:top w:val="single" w:sz="6" w:space="8" w:color="D9D9D9"/>
                <w:left w:val="none" w:sz="0" w:space="0" w:color="auto"/>
                <w:bottom w:val="none" w:sz="0" w:space="0" w:color="auto"/>
                <w:right w:val="none" w:sz="0" w:space="0" w:color="auto"/>
              </w:divBdr>
            </w:div>
          </w:divsChild>
        </w:div>
        <w:div w:id="1405951829">
          <w:marLeft w:val="0"/>
          <w:marRight w:val="0"/>
          <w:marTop w:val="0"/>
          <w:marBottom w:val="0"/>
          <w:divBdr>
            <w:top w:val="single" w:sz="6" w:space="5" w:color="6B90DA"/>
            <w:left w:val="single" w:sz="6" w:space="5" w:color="6B90DA"/>
            <w:bottom w:val="single" w:sz="6" w:space="5" w:color="6B90DA"/>
            <w:right w:val="single" w:sz="6" w:space="5" w:color="6B90DA"/>
          </w:divBdr>
          <w:divsChild>
            <w:div w:id="639728085">
              <w:marLeft w:val="0"/>
              <w:marRight w:val="0"/>
              <w:marTop w:val="0"/>
              <w:marBottom w:val="0"/>
              <w:divBdr>
                <w:top w:val="none" w:sz="0" w:space="0" w:color="auto"/>
                <w:left w:val="none" w:sz="0" w:space="0" w:color="auto"/>
                <w:bottom w:val="none" w:sz="0" w:space="0" w:color="auto"/>
                <w:right w:val="none" w:sz="0" w:space="0" w:color="auto"/>
              </w:divBdr>
            </w:div>
            <w:div w:id="169881899">
              <w:marLeft w:val="0"/>
              <w:marRight w:val="0"/>
              <w:marTop w:val="0"/>
              <w:marBottom w:val="0"/>
              <w:divBdr>
                <w:top w:val="none" w:sz="0" w:space="0" w:color="auto"/>
                <w:left w:val="none" w:sz="0" w:space="0" w:color="auto"/>
                <w:bottom w:val="none" w:sz="0" w:space="0" w:color="auto"/>
                <w:right w:val="none" w:sz="0" w:space="0" w:color="auto"/>
              </w:divBdr>
            </w:div>
          </w:divsChild>
        </w:div>
        <w:div w:id="1093548380">
          <w:marLeft w:val="0"/>
          <w:marRight w:val="0"/>
          <w:marTop w:val="0"/>
          <w:marBottom w:val="0"/>
          <w:divBdr>
            <w:top w:val="single" w:sz="6" w:space="5" w:color="6B90DA"/>
            <w:left w:val="single" w:sz="6" w:space="5" w:color="6B90DA"/>
            <w:bottom w:val="single" w:sz="6" w:space="5" w:color="6B90DA"/>
            <w:right w:val="single" w:sz="6" w:space="5" w:color="6B90DA"/>
          </w:divBdr>
          <w:divsChild>
            <w:div w:id="131799754">
              <w:marLeft w:val="0"/>
              <w:marRight w:val="0"/>
              <w:marTop w:val="0"/>
              <w:marBottom w:val="0"/>
              <w:divBdr>
                <w:top w:val="none" w:sz="0" w:space="0" w:color="auto"/>
                <w:left w:val="none" w:sz="0" w:space="0" w:color="auto"/>
                <w:bottom w:val="none" w:sz="0" w:space="0" w:color="auto"/>
                <w:right w:val="none" w:sz="0" w:space="0" w:color="auto"/>
              </w:divBdr>
            </w:div>
            <w:div w:id="1505394291">
              <w:marLeft w:val="0"/>
              <w:marRight w:val="0"/>
              <w:marTop w:val="0"/>
              <w:marBottom w:val="0"/>
              <w:divBdr>
                <w:top w:val="none" w:sz="0" w:space="0" w:color="auto"/>
                <w:left w:val="none" w:sz="0" w:space="0" w:color="auto"/>
                <w:bottom w:val="none" w:sz="0" w:space="0" w:color="auto"/>
                <w:right w:val="none" w:sz="0" w:space="0" w:color="auto"/>
              </w:divBdr>
            </w:div>
          </w:divsChild>
        </w:div>
        <w:div w:id="1458835365">
          <w:marLeft w:val="0"/>
          <w:marRight w:val="0"/>
          <w:marTop w:val="0"/>
          <w:marBottom w:val="0"/>
          <w:divBdr>
            <w:top w:val="single" w:sz="6" w:space="5" w:color="6B90DA"/>
            <w:left w:val="single" w:sz="6" w:space="5" w:color="6B90DA"/>
            <w:bottom w:val="single" w:sz="6" w:space="5" w:color="6B90DA"/>
            <w:right w:val="single" w:sz="6" w:space="5" w:color="6B90DA"/>
          </w:divBdr>
          <w:divsChild>
            <w:div w:id="324013472">
              <w:marLeft w:val="0"/>
              <w:marRight w:val="0"/>
              <w:marTop w:val="0"/>
              <w:marBottom w:val="0"/>
              <w:divBdr>
                <w:top w:val="none" w:sz="0" w:space="0" w:color="auto"/>
                <w:left w:val="none" w:sz="0" w:space="0" w:color="auto"/>
                <w:bottom w:val="none" w:sz="0" w:space="0" w:color="auto"/>
                <w:right w:val="none" w:sz="0" w:space="0" w:color="auto"/>
              </w:divBdr>
            </w:div>
            <w:div w:id="1298411532">
              <w:marLeft w:val="0"/>
              <w:marRight w:val="0"/>
              <w:marTop w:val="0"/>
              <w:marBottom w:val="0"/>
              <w:divBdr>
                <w:top w:val="none" w:sz="0" w:space="0" w:color="auto"/>
                <w:left w:val="none" w:sz="0" w:space="0" w:color="auto"/>
                <w:bottom w:val="none" w:sz="0" w:space="0" w:color="auto"/>
                <w:right w:val="none" w:sz="0" w:space="0" w:color="auto"/>
              </w:divBdr>
            </w:div>
          </w:divsChild>
        </w:div>
        <w:div w:id="286620993">
          <w:marLeft w:val="0"/>
          <w:marRight w:val="0"/>
          <w:marTop w:val="0"/>
          <w:marBottom w:val="0"/>
          <w:divBdr>
            <w:top w:val="single" w:sz="6" w:space="5" w:color="6B90DA"/>
            <w:left w:val="single" w:sz="6" w:space="5" w:color="6B90DA"/>
            <w:bottom w:val="single" w:sz="6" w:space="5" w:color="6B90DA"/>
            <w:right w:val="single" w:sz="6" w:space="5" w:color="6B90DA"/>
          </w:divBdr>
          <w:divsChild>
            <w:div w:id="867908433">
              <w:marLeft w:val="0"/>
              <w:marRight w:val="0"/>
              <w:marTop w:val="0"/>
              <w:marBottom w:val="0"/>
              <w:divBdr>
                <w:top w:val="none" w:sz="0" w:space="0" w:color="auto"/>
                <w:left w:val="none" w:sz="0" w:space="0" w:color="auto"/>
                <w:bottom w:val="none" w:sz="0" w:space="0" w:color="auto"/>
                <w:right w:val="none" w:sz="0" w:space="0" w:color="auto"/>
              </w:divBdr>
            </w:div>
            <w:div w:id="670177722">
              <w:marLeft w:val="0"/>
              <w:marRight w:val="0"/>
              <w:marTop w:val="0"/>
              <w:marBottom w:val="0"/>
              <w:divBdr>
                <w:top w:val="none" w:sz="0" w:space="0" w:color="auto"/>
                <w:left w:val="none" w:sz="0" w:space="0" w:color="auto"/>
                <w:bottom w:val="none" w:sz="0" w:space="0" w:color="auto"/>
                <w:right w:val="none" w:sz="0" w:space="0" w:color="auto"/>
              </w:divBdr>
            </w:div>
          </w:divsChild>
        </w:div>
        <w:div w:id="1052391754">
          <w:marLeft w:val="0"/>
          <w:marRight w:val="0"/>
          <w:marTop w:val="0"/>
          <w:marBottom w:val="0"/>
          <w:divBdr>
            <w:top w:val="single" w:sz="6" w:space="5" w:color="6B90DA"/>
            <w:left w:val="single" w:sz="6" w:space="5" w:color="6B90DA"/>
            <w:bottom w:val="single" w:sz="6" w:space="5" w:color="6B90DA"/>
            <w:right w:val="single" w:sz="6" w:space="5" w:color="6B90DA"/>
          </w:divBdr>
          <w:divsChild>
            <w:div w:id="1272123442">
              <w:marLeft w:val="0"/>
              <w:marRight w:val="0"/>
              <w:marTop w:val="0"/>
              <w:marBottom w:val="0"/>
              <w:divBdr>
                <w:top w:val="none" w:sz="0" w:space="0" w:color="auto"/>
                <w:left w:val="none" w:sz="0" w:space="0" w:color="auto"/>
                <w:bottom w:val="none" w:sz="0" w:space="0" w:color="auto"/>
                <w:right w:val="none" w:sz="0" w:space="0" w:color="auto"/>
              </w:divBdr>
            </w:div>
            <w:div w:id="1680038913">
              <w:marLeft w:val="0"/>
              <w:marRight w:val="0"/>
              <w:marTop w:val="0"/>
              <w:marBottom w:val="0"/>
              <w:divBdr>
                <w:top w:val="none" w:sz="0" w:space="0" w:color="auto"/>
                <w:left w:val="none" w:sz="0" w:space="0" w:color="auto"/>
                <w:bottom w:val="none" w:sz="0" w:space="0" w:color="auto"/>
                <w:right w:val="none" w:sz="0" w:space="0" w:color="auto"/>
              </w:divBdr>
            </w:div>
          </w:divsChild>
        </w:div>
        <w:div w:id="945430607">
          <w:marLeft w:val="0"/>
          <w:marRight w:val="0"/>
          <w:marTop w:val="0"/>
          <w:marBottom w:val="0"/>
          <w:divBdr>
            <w:top w:val="single" w:sz="6" w:space="0" w:color="EBEBEB"/>
            <w:left w:val="none" w:sz="0" w:space="0" w:color="auto"/>
            <w:bottom w:val="none" w:sz="0" w:space="0" w:color="auto"/>
            <w:right w:val="none" w:sz="0" w:space="0" w:color="auto"/>
          </w:divBdr>
          <w:divsChild>
            <w:div w:id="201872267">
              <w:marLeft w:val="0"/>
              <w:marRight w:val="0"/>
              <w:marTop w:val="0"/>
              <w:marBottom w:val="0"/>
              <w:divBdr>
                <w:top w:val="none" w:sz="0" w:space="0" w:color="auto"/>
                <w:left w:val="none" w:sz="0" w:space="0" w:color="auto"/>
                <w:bottom w:val="none" w:sz="0" w:space="0" w:color="auto"/>
                <w:right w:val="none" w:sz="0" w:space="0" w:color="auto"/>
              </w:divBdr>
              <w:divsChild>
                <w:div w:id="735786799">
                  <w:marLeft w:val="0"/>
                  <w:marRight w:val="0"/>
                  <w:marTop w:val="0"/>
                  <w:marBottom w:val="0"/>
                  <w:divBdr>
                    <w:top w:val="none" w:sz="0" w:space="0" w:color="auto"/>
                    <w:left w:val="none" w:sz="0" w:space="0" w:color="auto"/>
                    <w:bottom w:val="none" w:sz="0" w:space="0" w:color="auto"/>
                    <w:right w:val="none" w:sz="0" w:space="0" w:color="auto"/>
                  </w:divBdr>
                  <w:divsChild>
                    <w:div w:id="1267231923">
                      <w:marLeft w:val="0"/>
                      <w:marRight w:val="0"/>
                      <w:marTop w:val="0"/>
                      <w:marBottom w:val="0"/>
                      <w:divBdr>
                        <w:top w:val="none" w:sz="0" w:space="0" w:color="auto"/>
                        <w:left w:val="none" w:sz="0" w:space="0" w:color="auto"/>
                        <w:bottom w:val="none" w:sz="0" w:space="0" w:color="auto"/>
                        <w:right w:val="none" w:sz="0" w:space="0" w:color="auto"/>
                      </w:divBdr>
                      <w:divsChild>
                        <w:div w:id="391199827">
                          <w:marLeft w:val="0"/>
                          <w:marRight w:val="0"/>
                          <w:marTop w:val="630"/>
                          <w:marBottom w:val="0"/>
                          <w:divBdr>
                            <w:top w:val="single" w:sz="12" w:space="0" w:color="auto"/>
                            <w:left w:val="none" w:sz="0" w:space="0" w:color="auto"/>
                            <w:bottom w:val="none" w:sz="0" w:space="0" w:color="auto"/>
                            <w:right w:val="none" w:sz="0" w:space="0" w:color="auto"/>
                          </w:divBdr>
                          <w:divsChild>
                            <w:div w:id="1653828384">
                              <w:marLeft w:val="0"/>
                              <w:marRight w:val="0"/>
                              <w:marTop w:val="0"/>
                              <w:marBottom w:val="0"/>
                              <w:divBdr>
                                <w:top w:val="none" w:sz="0" w:space="0" w:color="auto"/>
                                <w:left w:val="none" w:sz="0" w:space="0" w:color="auto"/>
                                <w:bottom w:val="none" w:sz="0" w:space="0" w:color="auto"/>
                                <w:right w:val="none" w:sz="0" w:space="0" w:color="auto"/>
                              </w:divBdr>
                              <w:divsChild>
                                <w:div w:id="1937396237">
                                  <w:marLeft w:val="0"/>
                                  <w:marRight w:val="0"/>
                                  <w:marTop w:val="0"/>
                                  <w:marBottom w:val="0"/>
                                  <w:divBdr>
                                    <w:top w:val="none" w:sz="0" w:space="0" w:color="auto"/>
                                    <w:left w:val="none" w:sz="0" w:space="0" w:color="auto"/>
                                    <w:bottom w:val="none" w:sz="0" w:space="0" w:color="auto"/>
                                    <w:right w:val="none" w:sz="0" w:space="0" w:color="auto"/>
                                  </w:divBdr>
                                </w:div>
                              </w:divsChild>
                            </w:div>
                            <w:div w:id="340010322">
                              <w:marLeft w:val="0"/>
                              <w:marRight w:val="0"/>
                              <w:marTop w:val="0"/>
                              <w:marBottom w:val="195"/>
                              <w:divBdr>
                                <w:top w:val="none" w:sz="0" w:space="0" w:color="auto"/>
                                <w:left w:val="none" w:sz="0" w:space="0" w:color="auto"/>
                                <w:bottom w:val="none" w:sz="0" w:space="0" w:color="auto"/>
                                <w:right w:val="none" w:sz="0" w:space="0" w:color="auto"/>
                              </w:divBdr>
                              <w:divsChild>
                                <w:div w:id="1092824087">
                                  <w:marLeft w:val="0"/>
                                  <w:marRight w:val="0"/>
                                  <w:marTop w:val="0"/>
                                  <w:marBottom w:val="0"/>
                                  <w:divBdr>
                                    <w:top w:val="none" w:sz="0" w:space="0" w:color="auto"/>
                                    <w:left w:val="none" w:sz="0" w:space="0" w:color="auto"/>
                                    <w:bottom w:val="none" w:sz="0" w:space="0" w:color="auto"/>
                                    <w:right w:val="none" w:sz="0" w:space="0" w:color="auto"/>
                                  </w:divBdr>
                                </w:div>
                              </w:divsChild>
                            </w:div>
                            <w:div w:id="2083285318">
                              <w:marLeft w:val="0"/>
                              <w:marRight w:val="0"/>
                              <w:marTop w:val="0"/>
                              <w:marBottom w:val="0"/>
                              <w:divBdr>
                                <w:top w:val="none" w:sz="0" w:space="0" w:color="auto"/>
                                <w:left w:val="none" w:sz="0" w:space="0" w:color="auto"/>
                                <w:bottom w:val="none" w:sz="0" w:space="0" w:color="auto"/>
                                <w:right w:val="none" w:sz="0" w:space="0" w:color="auto"/>
                              </w:divBdr>
                              <w:divsChild>
                                <w:div w:id="438261622">
                                  <w:marLeft w:val="0"/>
                                  <w:marRight w:val="150"/>
                                  <w:marTop w:val="0"/>
                                  <w:marBottom w:val="90"/>
                                  <w:divBdr>
                                    <w:top w:val="none" w:sz="0" w:space="0" w:color="auto"/>
                                    <w:left w:val="none" w:sz="0" w:space="0" w:color="auto"/>
                                    <w:bottom w:val="none" w:sz="0" w:space="0" w:color="auto"/>
                                    <w:right w:val="none" w:sz="0" w:space="0" w:color="auto"/>
                                  </w:divBdr>
                                  <w:divsChild>
                                    <w:div w:id="2057661632">
                                      <w:marLeft w:val="0"/>
                                      <w:marRight w:val="0"/>
                                      <w:marTop w:val="0"/>
                                      <w:marBottom w:val="60"/>
                                      <w:divBdr>
                                        <w:top w:val="none" w:sz="0" w:space="0" w:color="auto"/>
                                        <w:left w:val="none" w:sz="0" w:space="0" w:color="auto"/>
                                        <w:bottom w:val="none" w:sz="0" w:space="0" w:color="auto"/>
                                        <w:right w:val="none" w:sz="0" w:space="0" w:color="auto"/>
                                      </w:divBdr>
                                      <w:divsChild>
                                        <w:div w:id="904991471">
                                          <w:marLeft w:val="0"/>
                                          <w:marRight w:val="0"/>
                                          <w:marTop w:val="75"/>
                                          <w:marBottom w:val="0"/>
                                          <w:divBdr>
                                            <w:top w:val="none" w:sz="0" w:space="0" w:color="auto"/>
                                            <w:left w:val="none" w:sz="0" w:space="0" w:color="auto"/>
                                            <w:bottom w:val="none" w:sz="0" w:space="0" w:color="auto"/>
                                            <w:right w:val="none" w:sz="0" w:space="0" w:color="auto"/>
                                          </w:divBdr>
                                          <w:divsChild>
                                            <w:div w:id="1440489414">
                                              <w:marLeft w:val="0"/>
                                              <w:marRight w:val="120"/>
                                              <w:marTop w:val="0"/>
                                              <w:marBottom w:val="0"/>
                                              <w:divBdr>
                                                <w:top w:val="none" w:sz="0" w:space="0" w:color="auto"/>
                                                <w:left w:val="none" w:sz="0" w:space="0" w:color="auto"/>
                                                <w:bottom w:val="none" w:sz="0" w:space="0" w:color="auto"/>
                                                <w:right w:val="none" w:sz="0" w:space="0" w:color="auto"/>
                                              </w:divBdr>
                                            </w:div>
                                            <w:div w:id="1920558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5576521">
                                      <w:marLeft w:val="0"/>
                                      <w:marRight w:val="0"/>
                                      <w:marTop w:val="0"/>
                                      <w:marBottom w:val="60"/>
                                      <w:divBdr>
                                        <w:top w:val="none" w:sz="0" w:space="0" w:color="auto"/>
                                        <w:left w:val="none" w:sz="0" w:space="0" w:color="auto"/>
                                        <w:bottom w:val="none" w:sz="0" w:space="0" w:color="auto"/>
                                        <w:right w:val="none" w:sz="0" w:space="0" w:color="auto"/>
                                      </w:divBdr>
                                    </w:div>
                                    <w:div w:id="750809768">
                                      <w:marLeft w:val="0"/>
                                      <w:marRight w:val="0"/>
                                      <w:marTop w:val="0"/>
                                      <w:marBottom w:val="45"/>
                                      <w:divBdr>
                                        <w:top w:val="none" w:sz="0" w:space="0" w:color="auto"/>
                                        <w:left w:val="none" w:sz="0" w:space="0" w:color="auto"/>
                                        <w:bottom w:val="none" w:sz="0" w:space="0" w:color="auto"/>
                                        <w:right w:val="none" w:sz="0" w:space="0" w:color="auto"/>
                                      </w:divBdr>
                                      <w:divsChild>
                                        <w:div w:id="2098550709">
                                          <w:marLeft w:val="0"/>
                                          <w:marRight w:val="0"/>
                                          <w:marTop w:val="0"/>
                                          <w:marBottom w:val="0"/>
                                          <w:divBdr>
                                            <w:top w:val="none" w:sz="0" w:space="0" w:color="auto"/>
                                            <w:left w:val="none" w:sz="0" w:space="0" w:color="auto"/>
                                            <w:bottom w:val="none" w:sz="0" w:space="0" w:color="auto"/>
                                            <w:right w:val="none" w:sz="0" w:space="0" w:color="auto"/>
                                          </w:divBdr>
                                        </w:div>
                                      </w:divsChild>
                                    </w:div>
                                    <w:div w:id="811871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245121">
                              <w:marLeft w:val="0"/>
                              <w:marRight w:val="0"/>
                              <w:marTop w:val="0"/>
                              <w:marBottom w:val="0"/>
                              <w:divBdr>
                                <w:top w:val="none" w:sz="0" w:space="0" w:color="auto"/>
                                <w:left w:val="none" w:sz="0" w:space="0" w:color="auto"/>
                                <w:bottom w:val="none" w:sz="0" w:space="0" w:color="auto"/>
                                <w:right w:val="none" w:sz="0" w:space="0" w:color="auto"/>
                              </w:divBdr>
                              <w:divsChild>
                                <w:div w:id="582299305">
                                  <w:marLeft w:val="-312"/>
                                  <w:marRight w:val="0"/>
                                  <w:marTop w:val="0"/>
                                  <w:marBottom w:val="0"/>
                                  <w:divBdr>
                                    <w:top w:val="none" w:sz="0" w:space="0" w:color="auto"/>
                                    <w:left w:val="none" w:sz="0" w:space="0" w:color="auto"/>
                                    <w:bottom w:val="none" w:sz="0" w:space="0" w:color="auto"/>
                                    <w:right w:val="none" w:sz="0" w:space="0" w:color="auto"/>
                                  </w:divBdr>
                                  <w:divsChild>
                                    <w:div w:id="893927400">
                                      <w:marLeft w:val="0"/>
                                      <w:marRight w:val="0"/>
                                      <w:marTop w:val="0"/>
                                      <w:marBottom w:val="0"/>
                                      <w:divBdr>
                                        <w:top w:val="none" w:sz="0" w:space="0" w:color="auto"/>
                                        <w:left w:val="none" w:sz="0" w:space="0" w:color="auto"/>
                                        <w:bottom w:val="none" w:sz="0" w:space="0" w:color="auto"/>
                                        <w:right w:val="none" w:sz="0" w:space="0" w:color="auto"/>
                                      </w:divBdr>
                                    </w:div>
                                    <w:div w:id="1086615149">
                                      <w:marLeft w:val="0"/>
                                      <w:marRight w:val="0"/>
                                      <w:marTop w:val="0"/>
                                      <w:marBottom w:val="0"/>
                                      <w:divBdr>
                                        <w:top w:val="none" w:sz="0" w:space="0" w:color="auto"/>
                                        <w:left w:val="none" w:sz="0" w:space="0" w:color="auto"/>
                                        <w:bottom w:val="none" w:sz="0" w:space="0" w:color="auto"/>
                                        <w:right w:val="none" w:sz="0" w:space="0" w:color="auto"/>
                                      </w:divBdr>
                                    </w:div>
                                    <w:div w:id="1731609058">
                                      <w:marLeft w:val="0"/>
                                      <w:marRight w:val="0"/>
                                      <w:marTop w:val="0"/>
                                      <w:marBottom w:val="0"/>
                                      <w:divBdr>
                                        <w:top w:val="none" w:sz="0" w:space="0" w:color="auto"/>
                                        <w:left w:val="none" w:sz="0" w:space="0" w:color="auto"/>
                                        <w:bottom w:val="none" w:sz="0" w:space="0" w:color="auto"/>
                                        <w:right w:val="none" w:sz="0" w:space="0" w:color="auto"/>
                                      </w:divBdr>
                                    </w:div>
                                    <w:div w:id="252710871">
                                      <w:marLeft w:val="0"/>
                                      <w:marRight w:val="0"/>
                                      <w:marTop w:val="0"/>
                                      <w:marBottom w:val="0"/>
                                      <w:divBdr>
                                        <w:top w:val="none" w:sz="0" w:space="0" w:color="auto"/>
                                        <w:left w:val="none" w:sz="0" w:space="0" w:color="auto"/>
                                        <w:bottom w:val="none" w:sz="0" w:space="0" w:color="auto"/>
                                        <w:right w:val="none" w:sz="0" w:space="0" w:color="auto"/>
                                      </w:divBdr>
                                    </w:div>
                                    <w:div w:id="636880264">
                                      <w:marLeft w:val="0"/>
                                      <w:marRight w:val="0"/>
                                      <w:marTop w:val="0"/>
                                      <w:marBottom w:val="0"/>
                                      <w:divBdr>
                                        <w:top w:val="none" w:sz="0" w:space="0" w:color="auto"/>
                                        <w:left w:val="none" w:sz="0" w:space="0" w:color="auto"/>
                                        <w:bottom w:val="none" w:sz="0" w:space="0" w:color="auto"/>
                                        <w:right w:val="none" w:sz="0" w:space="0" w:color="auto"/>
                                      </w:divBdr>
                                    </w:div>
                                    <w:div w:id="1219973036">
                                      <w:marLeft w:val="0"/>
                                      <w:marRight w:val="0"/>
                                      <w:marTop w:val="0"/>
                                      <w:marBottom w:val="0"/>
                                      <w:divBdr>
                                        <w:top w:val="none" w:sz="0" w:space="0" w:color="auto"/>
                                        <w:left w:val="none" w:sz="0" w:space="0" w:color="auto"/>
                                        <w:bottom w:val="none" w:sz="0" w:space="0" w:color="auto"/>
                                        <w:right w:val="none" w:sz="0" w:space="0" w:color="auto"/>
                                      </w:divBdr>
                                    </w:div>
                                    <w:div w:id="441147869">
                                      <w:marLeft w:val="0"/>
                                      <w:marRight w:val="0"/>
                                      <w:marTop w:val="0"/>
                                      <w:marBottom w:val="0"/>
                                      <w:divBdr>
                                        <w:top w:val="none" w:sz="0" w:space="0" w:color="auto"/>
                                        <w:left w:val="none" w:sz="0" w:space="0" w:color="auto"/>
                                        <w:bottom w:val="none" w:sz="0" w:space="0" w:color="auto"/>
                                        <w:right w:val="none" w:sz="0" w:space="0" w:color="auto"/>
                                      </w:divBdr>
                                    </w:div>
                                    <w:div w:id="1671836949">
                                      <w:marLeft w:val="0"/>
                                      <w:marRight w:val="0"/>
                                      <w:marTop w:val="0"/>
                                      <w:marBottom w:val="0"/>
                                      <w:divBdr>
                                        <w:top w:val="none" w:sz="0" w:space="0" w:color="auto"/>
                                        <w:left w:val="none" w:sz="0" w:space="0" w:color="auto"/>
                                        <w:bottom w:val="none" w:sz="0" w:space="0" w:color="auto"/>
                                        <w:right w:val="none" w:sz="0" w:space="0" w:color="auto"/>
                                      </w:divBdr>
                                      <w:divsChild>
                                        <w:div w:id="1863323084">
                                          <w:marLeft w:val="0"/>
                                          <w:marRight w:val="0"/>
                                          <w:marTop w:val="0"/>
                                          <w:marBottom w:val="0"/>
                                          <w:divBdr>
                                            <w:top w:val="none" w:sz="0" w:space="0" w:color="auto"/>
                                            <w:left w:val="none" w:sz="0" w:space="0" w:color="auto"/>
                                            <w:bottom w:val="none" w:sz="0" w:space="0" w:color="auto"/>
                                            <w:right w:val="none" w:sz="0" w:space="0" w:color="auto"/>
                                          </w:divBdr>
                                        </w:div>
                                      </w:divsChild>
                                    </w:div>
                                    <w:div w:id="141310773">
                                      <w:marLeft w:val="0"/>
                                      <w:marRight w:val="0"/>
                                      <w:marTop w:val="0"/>
                                      <w:marBottom w:val="0"/>
                                      <w:divBdr>
                                        <w:top w:val="none" w:sz="0" w:space="0" w:color="auto"/>
                                        <w:left w:val="none" w:sz="0" w:space="0" w:color="auto"/>
                                        <w:bottom w:val="none" w:sz="0" w:space="0" w:color="auto"/>
                                        <w:right w:val="none" w:sz="0" w:space="0" w:color="auto"/>
                                      </w:divBdr>
                                    </w:div>
                                    <w:div w:id="1839268300">
                                      <w:marLeft w:val="0"/>
                                      <w:marRight w:val="0"/>
                                      <w:marTop w:val="0"/>
                                      <w:marBottom w:val="0"/>
                                      <w:divBdr>
                                        <w:top w:val="none" w:sz="0" w:space="0" w:color="auto"/>
                                        <w:left w:val="none" w:sz="0" w:space="0" w:color="auto"/>
                                        <w:bottom w:val="none" w:sz="0" w:space="0" w:color="auto"/>
                                        <w:right w:val="none" w:sz="0" w:space="0" w:color="auto"/>
                                      </w:divBdr>
                                    </w:div>
                                    <w:div w:id="2019430998">
                                      <w:marLeft w:val="0"/>
                                      <w:marRight w:val="0"/>
                                      <w:marTop w:val="0"/>
                                      <w:marBottom w:val="0"/>
                                      <w:divBdr>
                                        <w:top w:val="none" w:sz="0" w:space="0" w:color="auto"/>
                                        <w:left w:val="none" w:sz="0" w:space="0" w:color="auto"/>
                                        <w:bottom w:val="none" w:sz="0" w:space="0" w:color="auto"/>
                                        <w:right w:val="none" w:sz="0" w:space="0" w:color="auto"/>
                                      </w:divBdr>
                                    </w:div>
                                    <w:div w:id="1791774608">
                                      <w:marLeft w:val="0"/>
                                      <w:marRight w:val="0"/>
                                      <w:marTop w:val="0"/>
                                      <w:marBottom w:val="0"/>
                                      <w:divBdr>
                                        <w:top w:val="none" w:sz="0" w:space="0" w:color="auto"/>
                                        <w:left w:val="none" w:sz="0" w:space="0" w:color="auto"/>
                                        <w:bottom w:val="none" w:sz="0" w:space="0" w:color="auto"/>
                                        <w:right w:val="none" w:sz="0" w:space="0" w:color="auto"/>
                                      </w:divBdr>
                                    </w:div>
                                    <w:div w:id="1904832521">
                                      <w:marLeft w:val="0"/>
                                      <w:marRight w:val="0"/>
                                      <w:marTop w:val="0"/>
                                      <w:marBottom w:val="0"/>
                                      <w:divBdr>
                                        <w:top w:val="none" w:sz="0" w:space="0" w:color="auto"/>
                                        <w:left w:val="none" w:sz="0" w:space="0" w:color="auto"/>
                                        <w:bottom w:val="none" w:sz="0" w:space="0" w:color="auto"/>
                                        <w:right w:val="none" w:sz="0" w:space="0" w:color="auto"/>
                                      </w:divBdr>
                                    </w:div>
                                  </w:divsChild>
                                </w:div>
                                <w:div w:id="1640962656">
                                  <w:marLeft w:val="0"/>
                                  <w:marRight w:val="0"/>
                                  <w:marTop w:val="0"/>
                                  <w:marBottom w:val="0"/>
                                  <w:divBdr>
                                    <w:top w:val="none" w:sz="0" w:space="0" w:color="auto"/>
                                    <w:left w:val="none" w:sz="0" w:space="0" w:color="auto"/>
                                    <w:bottom w:val="none" w:sz="0" w:space="0" w:color="auto"/>
                                    <w:right w:val="none" w:sz="0" w:space="0" w:color="auto"/>
                                  </w:divBdr>
                                  <w:divsChild>
                                    <w:div w:id="588857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6808283">
              <w:marLeft w:val="0"/>
              <w:marRight w:val="0"/>
              <w:marTop w:val="0"/>
              <w:marBottom w:val="0"/>
              <w:divBdr>
                <w:top w:val="none" w:sz="0" w:space="0" w:color="auto"/>
                <w:left w:val="none" w:sz="0" w:space="0" w:color="auto"/>
                <w:bottom w:val="none" w:sz="0" w:space="0" w:color="auto"/>
                <w:right w:val="none" w:sz="0" w:space="0" w:color="auto"/>
              </w:divBdr>
              <w:divsChild>
                <w:div w:id="265311730">
                  <w:marLeft w:val="0"/>
                  <w:marRight w:val="0"/>
                  <w:marTop w:val="0"/>
                  <w:marBottom w:val="0"/>
                  <w:divBdr>
                    <w:top w:val="none" w:sz="0" w:space="0" w:color="auto"/>
                    <w:left w:val="none" w:sz="0" w:space="0" w:color="auto"/>
                    <w:bottom w:val="none" w:sz="0" w:space="0" w:color="auto"/>
                    <w:right w:val="none" w:sz="0" w:space="0" w:color="auto"/>
                  </w:divBdr>
                  <w:divsChild>
                    <w:div w:id="917178464">
                      <w:marLeft w:val="0"/>
                      <w:marRight w:val="0"/>
                      <w:marTop w:val="0"/>
                      <w:marBottom w:val="0"/>
                      <w:divBdr>
                        <w:top w:val="none" w:sz="0" w:space="0" w:color="auto"/>
                        <w:left w:val="none" w:sz="0" w:space="0" w:color="auto"/>
                        <w:bottom w:val="none" w:sz="0" w:space="0" w:color="auto"/>
                        <w:right w:val="none" w:sz="0" w:space="0" w:color="auto"/>
                      </w:divBdr>
                      <w:divsChild>
                        <w:div w:id="2056271153">
                          <w:marLeft w:val="0"/>
                          <w:marRight w:val="0"/>
                          <w:marTop w:val="0"/>
                          <w:marBottom w:val="0"/>
                          <w:divBdr>
                            <w:top w:val="single" w:sz="2" w:space="0" w:color="auto"/>
                            <w:left w:val="single" w:sz="2" w:space="0" w:color="auto"/>
                            <w:bottom w:val="single" w:sz="2" w:space="0" w:color="auto"/>
                            <w:right w:val="single" w:sz="2" w:space="0" w:color="auto"/>
                          </w:divBdr>
                          <w:divsChild>
                            <w:div w:id="211967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321532">
                      <w:marLeft w:val="0"/>
                      <w:marRight w:val="0"/>
                      <w:marTop w:val="0"/>
                      <w:marBottom w:val="0"/>
                      <w:divBdr>
                        <w:top w:val="none" w:sz="0" w:space="0" w:color="auto"/>
                        <w:left w:val="none" w:sz="0" w:space="0" w:color="auto"/>
                        <w:bottom w:val="none" w:sz="0" w:space="0" w:color="auto"/>
                        <w:right w:val="none" w:sz="0" w:space="0" w:color="auto"/>
                      </w:divBdr>
                      <w:divsChild>
                        <w:div w:id="410202300">
                          <w:marLeft w:val="0"/>
                          <w:marRight w:val="0"/>
                          <w:marTop w:val="0"/>
                          <w:marBottom w:val="0"/>
                          <w:divBdr>
                            <w:top w:val="single" w:sz="6" w:space="0" w:color="E5E5E5"/>
                            <w:left w:val="none" w:sz="0" w:space="0" w:color="auto"/>
                            <w:bottom w:val="none" w:sz="0" w:space="0" w:color="auto"/>
                            <w:right w:val="none" w:sz="0" w:space="0" w:color="auto"/>
                          </w:divBdr>
                          <w:divsChild>
                            <w:div w:id="32506367">
                              <w:marLeft w:val="0"/>
                              <w:marRight w:val="0"/>
                              <w:marTop w:val="0"/>
                              <w:marBottom w:val="0"/>
                              <w:divBdr>
                                <w:top w:val="none" w:sz="0" w:space="0" w:color="auto"/>
                                <w:left w:val="none" w:sz="0" w:space="0" w:color="auto"/>
                                <w:bottom w:val="none" w:sz="0" w:space="0" w:color="auto"/>
                                <w:right w:val="none" w:sz="0" w:space="0" w:color="auto"/>
                              </w:divBdr>
                              <w:divsChild>
                                <w:div w:id="1222210551">
                                  <w:marLeft w:val="0"/>
                                  <w:marRight w:val="0"/>
                                  <w:marTop w:val="0"/>
                                  <w:marBottom w:val="0"/>
                                  <w:divBdr>
                                    <w:top w:val="none" w:sz="0" w:space="0" w:color="auto"/>
                                    <w:left w:val="none" w:sz="0" w:space="0" w:color="auto"/>
                                    <w:bottom w:val="none" w:sz="0" w:space="0" w:color="auto"/>
                                    <w:right w:val="none" w:sz="0" w:space="0" w:color="auto"/>
                                  </w:divBdr>
                                  <w:divsChild>
                                    <w:div w:id="888153663">
                                      <w:marLeft w:val="0"/>
                                      <w:marRight w:val="0"/>
                                      <w:marTop w:val="0"/>
                                      <w:marBottom w:val="0"/>
                                      <w:divBdr>
                                        <w:top w:val="none" w:sz="0" w:space="0" w:color="auto"/>
                                        <w:left w:val="none" w:sz="0" w:space="0" w:color="auto"/>
                                        <w:bottom w:val="none" w:sz="0" w:space="0" w:color="auto"/>
                                        <w:right w:val="none" w:sz="0" w:space="0" w:color="auto"/>
                                      </w:divBdr>
                                      <w:divsChild>
                                        <w:div w:id="1745491437">
                                          <w:marLeft w:val="0"/>
                                          <w:marRight w:val="0"/>
                                          <w:marTop w:val="0"/>
                                          <w:marBottom w:val="0"/>
                                          <w:divBdr>
                                            <w:top w:val="none" w:sz="0" w:space="0" w:color="auto"/>
                                            <w:left w:val="none" w:sz="0" w:space="0" w:color="auto"/>
                                            <w:bottom w:val="none" w:sz="0" w:space="0" w:color="auto"/>
                                            <w:right w:val="none" w:sz="0" w:space="0" w:color="auto"/>
                                          </w:divBdr>
                                          <w:divsChild>
                                            <w:div w:id="1084496323">
                                              <w:marLeft w:val="0"/>
                                              <w:marRight w:val="0"/>
                                              <w:marTop w:val="0"/>
                                              <w:marBottom w:val="0"/>
                                              <w:divBdr>
                                                <w:top w:val="none" w:sz="0" w:space="0" w:color="auto"/>
                                                <w:left w:val="none" w:sz="0" w:space="0" w:color="auto"/>
                                                <w:bottom w:val="none" w:sz="0" w:space="0" w:color="auto"/>
                                                <w:right w:val="none" w:sz="0" w:space="0" w:color="auto"/>
                                              </w:divBdr>
                                              <w:divsChild>
                                                <w:div w:id="1212570866">
                                                  <w:marLeft w:val="0"/>
                                                  <w:marRight w:val="0"/>
                                                  <w:marTop w:val="0"/>
                                                  <w:marBottom w:val="0"/>
                                                  <w:divBdr>
                                                    <w:top w:val="none" w:sz="0" w:space="0" w:color="auto"/>
                                                    <w:left w:val="none" w:sz="0" w:space="0" w:color="auto"/>
                                                    <w:bottom w:val="none" w:sz="0" w:space="0" w:color="auto"/>
                                                    <w:right w:val="none" w:sz="0" w:space="0" w:color="auto"/>
                                                  </w:divBdr>
                                                  <w:divsChild>
                                                    <w:div w:id="2067487299">
                                                      <w:marLeft w:val="0"/>
                                                      <w:marRight w:val="0"/>
                                                      <w:marTop w:val="0"/>
                                                      <w:marBottom w:val="0"/>
                                                      <w:divBdr>
                                                        <w:top w:val="none" w:sz="0" w:space="0" w:color="auto"/>
                                                        <w:left w:val="none" w:sz="0" w:space="0" w:color="auto"/>
                                                        <w:bottom w:val="none" w:sz="0" w:space="0" w:color="auto"/>
                                                        <w:right w:val="none" w:sz="0" w:space="0" w:color="auto"/>
                                                      </w:divBdr>
                                                      <w:divsChild>
                                                        <w:div w:id="1579054618">
                                                          <w:marLeft w:val="0"/>
                                                          <w:marRight w:val="0"/>
                                                          <w:marTop w:val="0"/>
                                                          <w:marBottom w:val="0"/>
                                                          <w:divBdr>
                                                            <w:top w:val="none" w:sz="0" w:space="0" w:color="auto"/>
                                                            <w:left w:val="none" w:sz="0" w:space="0" w:color="auto"/>
                                                            <w:bottom w:val="none" w:sz="0" w:space="0" w:color="auto"/>
                                                            <w:right w:val="none" w:sz="0" w:space="0" w:color="auto"/>
                                                          </w:divBdr>
                                                        </w:div>
                                                        <w:div w:id="1547450692">
                                                          <w:marLeft w:val="0"/>
                                                          <w:marRight w:val="0"/>
                                                          <w:marTop w:val="0"/>
                                                          <w:marBottom w:val="0"/>
                                                          <w:divBdr>
                                                            <w:top w:val="none" w:sz="0" w:space="0" w:color="auto"/>
                                                            <w:left w:val="none" w:sz="0" w:space="0" w:color="auto"/>
                                                            <w:bottom w:val="none" w:sz="0" w:space="0" w:color="auto"/>
                                                            <w:right w:val="none" w:sz="0" w:space="0" w:color="auto"/>
                                                          </w:divBdr>
                                                        </w:div>
                                                      </w:divsChild>
                                                    </w:div>
                                                    <w:div w:id="1460219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2748664">
                                          <w:marLeft w:val="0"/>
                                          <w:marRight w:val="0"/>
                                          <w:marTop w:val="0"/>
                                          <w:marBottom w:val="0"/>
                                          <w:divBdr>
                                            <w:top w:val="none" w:sz="0" w:space="0" w:color="auto"/>
                                            <w:left w:val="none" w:sz="0" w:space="0" w:color="auto"/>
                                            <w:bottom w:val="none" w:sz="0" w:space="0" w:color="auto"/>
                                            <w:right w:val="none" w:sz="0" w:space="0" w:color="auto"/>
                                          </w:divBdr>
                                          <w:divsChild>
                                            <w:div w:id="966815005">
                                              <w:marLeft w:val="0"/>
                                              <w:marRight w:val="0"/>
                                              <w:marTop w:val="0"/>
                                              <w:marBottom w:val="0"/>
                                              <w:divBdr>
                                                <w:top w:val="none" w:sz="0" w:space="0" w:color="auto"/>
                                                <w:left w:val="none" w:sz="0" w:space="0" w:color="auto"/>
                                                <w:bottom w:val="none" w:sz="0" w:space="0" w:color="auto"/>
                                                <w:right w:val="none" w:sz="0" w:space="0" w:color="auto"/>
                                              </w:divBdr>
                                            </w:div>
                                          </w:divsChild>
                                        </w:div>
                                        <w:div w:id="1125078406">
                                          <w:marLeft w:val="0"/>
                                          <w:marRight w:val="0"/>
                                          <w:marTop w:val="0"/>
                                          <w:marBottom w:val="0"/>
                                          <w:divBdr>
                                            <w:top w:val="none" w:sz="0" w:space="0" w:color="auto"/>
                                            <w:left w:val="none" w:sz="0" w:space="0" w:color="auto"/>
                                            <w:bottom w:val="none" w:sz="0" w:space="0" w:color="auto"/>
                                            <w:right w:val="none" w:sz="0" w:space="0" w:color="auto"/>
                                          </w:divBdr>
                                          <w:divsChild>
                                            <w:div w:id="1388260046">
                                              <w:marLeft w:val="0"/>
                                              <w:marRight w:val="0"/>
                                              <w:marTop w:val="0"/>
                                              <w:marBottom w:val="0"/>
                                              <w:divBdr>
                                                <w:top w:val="none" w:sz="0" w:space="0" w:color="auto"/>
                                                <w:left w:val="none" w:sz="0" w:space="0" w:color="auto"/>
                                                <w:bottom w:val="none" w:sz="0" w:space="0" w:color="auto"/>
                                                <w:right w:val="none" w:sz="0" w:space="0" w:color="auto"/>
                                              </w:divBdr>
                                              <w:divsChild>
                                                <w:div w:id="1445613359">
                                                  <w:marLeft w:val="0"/>
                                                  <w:marRight w:val="0"/>
                                                  <w:marTop w:val="0"/>
                                                  <w:marBottom w:val="0"/>
                                                  <w:divBdr>
                                                    <w:top w:val="none" w:sz="0" w:space="0" w:color="auto"/>
                                                    <w:left w:val="none" w:sz="0" w:space="0" w:color="auto"/>
                                                    <w:bottom w:val="none" w:sz="0" w:space="0" w:color="auto"/>
                                                    <w:right w:val="none" w:sz="0" w:space="0" w:color="auto"/>
                                                  </w:divBdr>
                                                  <w:divsChild>
                                                    <w:div w:id="177547829">
                                                      <w:marLeft w:val="0"/>
                                                      <w:marRight w:val="0"/>
                                                      <w:marTop w:val="0"/>
                                                      <w:marBottom w:val="0"/>
                                                      <w:divBdr>
                                                        <w:top w:val="none" w:sz="0" w:space="0" w:color="auto"/>
                                                        <w:left w:val="none" w:sz="0" w:space="0" w:color="auto"/>
                                                        <w:bottom w:val="none" w:sz="0" w:space="0" w:color="auto"/>
                                                        <w:right w:val="none" w:sz="0" w:space="0" w:color="auto"/>
                                                      </w:divBdr>
                                                      <w:divsChild>
                                                        <w:div w:id="566961049">
                                                          <w:marLeft w:val="0"/>
                                                          <w:marRight w:val="0"/>
                                                          <w:marTop w:val="0"/>
                                                          <w:marBottom w:val="0"/>
                                                          <w:divBdr>
                                                            <w:top w:val="none" w:sz="0" w:space="0" w:color="auto"/>
                                                            <w:left w:val="none" w:sz="0" w:space="0" w:color="auto"/>
                                                            <w:bottom w:val="none" w:sz="0" w:space="0" w:color="auto"/>
                                                            <w:right w:val="none" w:sz="0" w:space="0" w:color="auto"/>
                                                          </w:divBdr>
                                                        </w:div>
                                                        <w:div w:id="1226918634">
                                                          <w:marLeft w:val="0"/>
                                                          <w:marRight w:val="0"/>
                                                          <w:marTop w:val="0"/>
                                                          <w:marBottom w:val="0"/>
                                                          <w:divBdr>
                                                            <w:top w:val="none" w:sz="0" w:space="0" w:color="auto"/>
                                                            <w:left w:val="none" w:sz="0" w:space="0" w:color="auto"/>
                                                            <w:bottom w:val="none" w:sz="0" w:space="0" w:color="auto"/>
                                                            <w:right w:val="none" w:sz="0" w:space="0" w:color="auto"/>
                                                          </w:divBdr>
                                                        </w:div>
                                                      </w:divsChild>
                                                    </w:div>
                                                    <w:div w:id="1392654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0087526">
                                          <w:marLeft w:val="0"/>
                                          <w:marRight w:val="0"/>
                                          <w:marTop w:val="0"/>
                                          <w:marBottom w:val="0"/>
                                          <w:divBdr>
                                            <w:top w:val="none" w:sz="0" w:space="0" w:color="auto"/>
                                            <w:left w:val="none" w:sz="0" w:space="0" w:color="auto"/>
                                            <w:bottom w:val="none" w:sz="0" w:space="0" w:color="auto"/>
                                            <w:right w:val="none" w:sz="0" w:space="0" w:color="auto"/>
                                          </w:divBdr>
                                          <w:divsChild>
                                            <w:div w:id="773329457">
                                              <w:marLeft w:val="0"/>
                                              <w:marRight w:val="0"/>
                                              <w:marTop w:val="0"/>
                                              <w:marBottom w:val="0"/>
                                              <w:divBdr>
                                                <w:top w:val="none" w:sz="0" w:space="0" w:color="auto"/>
                                                <w:left w:val="none" w:sz="0" w:space="0" w:color="auto"/>
                                                <w:bottom w:val="none" w:sz="0" w:space="0" w:color="auto"/>
                                                <w:right w:val="none" w:sz="0" w:space="0" w:color="auto"/>
                                              </w:divBdr>
                                              <w:divsChild>
                                                <w:div w:id="1758290135">
                                                  <w:marLeft w:val="0"/>
                                                  <w:marRight w:val="0"/>
                                                  <w:marTop w:val="0"/>
                                                  <w:marBottom w:val="0"/>
                                                  <w:divBdr>
                                                    <w:top w:val="none" w:sz="0" w:space="0" w:color="auto"/>
                                                    <w:left w:val="none" w:sz="0" w:space="0" w:color="auto"/>
                                                    <w:bottom w:val="none" w:sz="0" w:space="0" w:color="auto"/>
                                                    <w:right w:val="none" w:sz="0" w:space="0" w:color="auto"/>
                                                  </w:divBdr>
                                                  <w:divsChild>
                                                    <w:div w:id="1828672576">
                                                      <w:marLeft w:val="0"/>
                                                      <w:marRight w:val="0"/>
                                                      <w:marTop w:val="0"/>
                                                      <w:marBottom w:val="0"/>
                                                      <w:divBdr>
                                                        <w:top w:val="none" w:sz="0" w:space="0" w:color="auto"/>
                                                        <w:left w:val="none" w:sz="0" w:space="0" w:color="auto"/>
                                                        <w:bottom w:val="none" w:sz="0" w:space="0" w:color="auto"/>
                                                        <w:right w:val="none" w:sz="0" w:space="0" w:color="auto"/>
                                                      </w:divBdr>
                                                      <w:divsChild>
                                                        <w:div w:id="644119992">
                                                          <w:marLeft w:val="0"/>
                                                          <w:marRight w:val="0"/>
                                                          <w:marTop w:val="0"/>
                                                          <w:marBottom w:val="0"/>
                                                          <w:divBdr>
                                                            <w:top w:val="none" w:sz="0" w:space="0" w:color="auto"/>
                                                            <w:left w:val="none" w:sz="0" w:space="0" w:color="auto"/>
                                                            <w:bottom w:val="none" w:sz="0" w:space="0" w:color="auto"/>
                                                            <w:right w:val="none" w:sz="0" w:space="0" w:color="auto"/>
                                                          </w:divBdr>
                                                        </w:div>
                                                        <w:div w:id="463737997">
                                                          <w:marLeft w:val="0"/>
                                                          <w:marRight w:val="0"/>
                                                          <w:marTop w:val="0"/>
                                                          <w:marBottom w:val="0"/>
                                                          <w:divBdr>
                                                            <w:top w:val="none" w:sz="0" w:space="0" w:color="auto"/>
                                                            <w:left w:val="none" w:sz="0" w:space="0" w:color="auto"/>
                                                            <w:bottom w:val="none" w:sz="0" w:space="0" w:color="auto"/>
                                                            <w:right w:val="none" w:sz="0" w:space="0" w:color="auto"/>
                                                          </w:divBdr>
                                                        </w:div>
                                                      </w:divsChild>
                                                    </w:div>
                                                    <w:div w:id="1136292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03108111">
          <w:marLeft w:val="0"/>
          <w:marRight w:val="0"/>
          <w:marTop w:val="0"/>
          <w:marBottom w:val="0"/>
          <w:divBdr>
            <w:top w:val="single" w:sz="6" w:space="5" w:color="CCCCCC"/>
            <w:left w:val="single" w:sz="6" w:space="0" w:color="CCCCCC"/>
            <w:bottom w:val="single" w:sz="6" w:space="5" w:color="CCCCCC"/>
            <w:right w:val="single" w:sz="6" w:space="0" w:color="CCCCCC"/>
          </w:divBdr>
          <w:divsChild>
            <w:div w:id="2119249123">
              <w:marLeft w:val="0"/>
              <w:marRight w:val="0"/>
              <w:marTop w:val="0"/>
              <w:marBottom w:val="0"/>
              <w:divBdr>
                <w:top w:val="none" w:sz="0" w:space="0" w:color="auto"/>
                <w:left w:val="none" w:sz="0" w:space="0" w:color="auto"/>
                <w:bottom w:val="none" w:sz="0" w:space="0" w:color="auto"/>
                <w:right w:val="none" w:sz="0" w:space="0" w:color="auto"/>
              </w:divBdr>
              <w:divsChild>
                <w:div w:id="446582596">
                  <w:marLeft w:val="0"/>
                  <w:marRight w:val="0"/>
                  <w:marTop w:val="0"/>
                  <w:marBottom w:val="0"/>
                  <w:divBdr>
                    <w:top w:val="none" w:sz="0" w:space="0" w:color="auto"/>
                    <w:left w:val="none" w:sz="0" w:space="0" w:color="auto"/>
                    <w:bottom w:val="none" w:sz="0" w:space="0" w:color="auto"/>
                    <w:right w:val="none" w:sz="0" w:space="0" w:color="auto"/>
                  </w:divBdr>
                </w:div>
              </w:divsChild>
            </w:div>
            <w:div w:id="397170924">
              <w:marLeft w:val="0"/>
              <w:marRight w:val="0"/>
              <w:marTop w:val="0"/>
              <w:marBottom w:val="0"/>
              <w:divBdr>
                <w:top w:val="none" w:sz="0" w:space="0" w:color="auto"/>
                <w:left w:val="none" w:sz="0" w:space="0" w:color="auto"/>
                <w:bottom w:val="none" w:sz="0" w:space="0" w:color="auto"/>
                <w:right w:val="none" w:sz="0" w:space="0" w:color="auto"/>
              </w:divBdr>
              <w:divsChild>
                <w:div w:id="449587136">
                  <w:marLeft w:val="0"/>
                  <w:marRight w:val="0"/>
                  <w:marTop w:val="0"/>
                  <w:marBottom w:val="0"/>
                  <w:divBdr>
                    <w:top w:val="none" w:sz="0" w:space="0" w:color="auto"/>
                    <w:left w:val="none" w:sz="0" w:space="0" w:color="auto"/>
                    <w:bottom w:val="none" w:sz="0" w:space="0" w:color="auto"/>
                    <w:right w:val="none" w:sz="0" w:space="0" w:color="auto"/>
                  </w:divBdr>
                </w:div>
              </w:divsChild>
            </w:div>
            <w:div w:id="1540512397">
              <w:marLeft w:val="0"/>
              <w:marRight w:val="0"/>
              <w:marTop w:val="0"/>
              <w:marBottom w:val="0"/>
              <w:divBdr>
                <w:top w:val="none" w:sz="0" w:space="0" w:color="auto"/>
                <w:left w:val="none" w:sz="0" w:space="0" w:color="auto"/>
                <w:bottom w:val="none" w:sz="0" w:space="0" w:color="auto"/>
                <w:right w:val="none" w:sz="0" w:space="0" w:color="auto"/>
              </w:divBdr>
              <w:divsChild>
                <w:div w:id="2076196177">
                  <w:marLeft w:val="0"/>
                  <w:marRight w:val="0"/>
                  <w:marTop w:val="0"/>
                  <w:marBottom w:val="0"/>
                  <w:divBdr>
                    <w:top w:val="none" w:sz="0" w:space="0" w:color="auto"/>
                    <w:left w:val="none" w:sz="0" w:space="0" w:color="auto"/>
                    <w:bottom w:val="none" w:sz="0" w:space="0" w:color="auto"/>
                    <w:right w:val="none" w:sz="0" w:space="0" w:color="auto"/>
                  </w:divBdr>
                </w:div>
              </w:divsChild>
            </w:div>
            <w:div w:id="1769698011">
              <w:marLeft w:val="0"/>
              <w:marRight w:val="0"/>
              <w:marTop w:val="0"/>
              <w:marBottom w:val="0"/>
              <w:divBdr>
                <w:top w:val="none" w:sz="0" w:space="0" w:color="auto"/>
                <w:left w:val="none" w:sz="0" w:space="0" w:color="auto"/>
                <w:bottom w:val="none" w:sz="0" w:space="0" w:color="auto"/>
                <w:right w:val="none" w:sz="0" w:space="0" w:color="auto"/>
              </w:divBdr>
              <w:divsChild>
                <w:div w:id="1820346492">
                  <w:marLeft w:val="0"/>
                  <w:marRight w:val="0"/>
                  <w:marTop w:val="0"/>
                  <w:marBottom w:val="0"/>
                  <w:divBdr>
                    <w:top w:val="none" w:sz="0" w:space="0" w:color="auto"/>
                    <w:left w:val="none" w:sz="0" w:space="0" w:color="auto"/>
                    <w:bottom w:val="none" w:sz="0" w:space="0" w:color="auto"/>
                    <w:right w:val="none" w:sz="0" w:space="0" w:color="auto"/>
                  </w:divBdr>
                </w:div>
              </w:divsChild>
            </w:div>
            <w:div w:id="1581868839">
              <w:marLeft w:val="0"/>
              <w:marRight w:val="0"/>
              <w:marTop w:val="0"/>
              <w:marBottom w:val="0"/>
              <w:divBdr>
                <w:top w:val="none" w:sz="0" w:space="0" w:color="auto"/>
                <w:left w:val="none" w:sz="0" w:space="0" w:color="auto"/>
                <w:bottom w:val="none" w:sz="0" w:space="0" w:color="auto"/>
                <w:right w:val="none" w:sz="0" w:space="0" w:color="auto"/>
              </w:divBdr>
              <w:divsChild>
                <w:div w:id="2012172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612450">
      <w:bodyDiv w:val="1"/>
      <w:marLeft w:val="0"/>
      <w:marRight w:val="0"/>
      <w:marTop w:val="0"/>
      <w:marBottom w:val="0"/>
      <w:divBdr>
        <w:top w:val="none" w:sz="0" w:space="0" w:color="auto"/>
        <w:left w:val="none" w:sz="0" w:space="0" w:color="auto"/>
        <w:bottom w:val="none" w:sz="0" w:space="0" w:color="auto"/>
        <w:right w:val="none" w:sz="0" w:space="0" w:color="auto"/>
      </w:divBdr>
      <w:divsChild>
        <w:div w:id="616835014">
          <w:marLeft w:val="0"/>
          <w:marRight w:val="0"/>
          <w:marTop w:val="100"/>
          <w:marBottom w:val="100"/>
          <w:divBdr>
            <w:top w:val="single" w:sz="6" w:space="24" w:color="D0D0D0"/>
            <w:left w:val="single" w:sz="6" w:space="24" w:color="D0D0D0"/>
            <w:bottom w:val="single" w:sz="6" w:space="24" w:color="D0D0D0"/>
            <w:right w:val="single" w:sz="6" w:space="24" w:color="D0D0D0"/>
          </w:divBdr>
          <w:divsChild>
            <w:div w:id="1976717682">
              <w:marLeft w:val="0"/>
              <w:marRight w:val="0"/>
              <w:marTop w:val="0"/>
              <w:marBottom w:val="0"/>
              <w:divBdr>
                <w:top w:val="none" w:sz="0" w:space="0" w:color="auto"/>
                <w:left w:val="none" w:sz="0" w:space="0" w:color="auto"/>
                <w:bottom w:val="none" w:sz="0" w:space="0" w:color="auto"/>
                <w:right w:val="none" w:sz="0" w:space="0" w:color="auto"/>
              </w:divBdr>
              <w:divsChild>
                <w:div w:id="1442073361">
                  <w:marLeft w:val="0"/>
                  <w:marRight w:val="0"/>
                  <w:marTop w:val="0"/>
                  <w:marBottom w:val="0"/>
                  <w:divBdr>
                    <w:top w:val="none" w:sz="0" w:space="0" w:color="auto"/>
                    <w:left w:val="none" w:sz="0" w:space="0" w:color="auto"/>
                    <w:bottom w:val="none" w:sz="0" w:space="0" w:color="auto"/>
                    <w:right w:val="none" w:sz="0" w:space="0" w:color="auto"/>
                  </w:divBdr>
                  <w:divsChild>
                    <w:div w:id="1288509334">
                      <w:marLeft w:val="0"/>
                      <w:marRight w:val="0"/>
                      <w:marTop w:val="0"/>
                      <w:marBottom w:val="0"/>
                      <w:divBdr>
                        <w:top w:val="none" w:sz="0" w:space="0" w:color="auto"/>
                        <w:left w:val="none" w:sz="0" w:space="0" w:color="auto"/>
                        <w:bottom w:val="none" w:sz="0" w:space="0" w:color="auto"/>
                        <w:right w:val="none" w:sz="0" w:space="0" w:color="auto"/>
                      </w:divBdr>
                      <w:divsChild>
                        <w:div w:id="1654480317">
                          <w:marLeft w:val="0"/>
                          <w:marRight w:val="0"/>
                          <w:marTop w:val="24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pixelsPerInch w:val="120"/>
</w:webSettings>
</file>

<file path=word/_rels/document.xml.rels><?xml version="1.0" encoding="UTF-8" standalone="yes"?>
<Relationships xmlns="http://schemas.openxmlformats.org/package/2006/relationships"><Relationship Id="rId26" Type="http://schemas.openxmlformats.org/officeDocument/2006/relationships/hyperlink" Target="javascript:;" TargetMode="External"/><Relationship Id="rId117" Type="http://schemas.openxmlformats.org/officeDocument/2006/relationships/hyperlink" Target="https://doi.pangaea.de/10.1594/PANGAEA.887031" TargetMode="External"/><Relationship Id="rId21" Type="http://schemas.openxmlformats.org/officeDocument/2006/relationships/hyperlink" Target="http://www.nature.com/articles/nature06045" TargetMode="External"/><Relationship Id="rId42" Type="http://schemas.openxmlformats.org/officeDocument/2006/relationships/hyperlink" Target="http://www.nature.com/articles/nature06045" TargetMode="External"/><Relationship Id="rId47" Type="http://schemas.openxmlformats.org/officeDocument/2006/relationships/hyperlink" Target="http://adsabs.harvard.edu/cgi-bin/author_form?author=Power,+H&amp;fullauthor=Power,%20H.%20C.&amp;charset=ISO-8859-1&amp;db_key=PHY" TargetMode="External"/><Relationship Id="rId63" Type="http://schemas.openxmlformats.org/officeDocument/2006/relationships/hyperlink" Target="http://www.scielo.org.za/img/revistas/jesa/v28n2/05f02.jpg" TargetMode="External"/><Relationship Id="rId68" Type="http://schemas.openxmlformats.org/officeDocument/2006/relationships/hyperlink" Target="javascript:void(0);" TargetMode="External"/><Relationship Id="rId84" Type="http://schemas.openxmlformats.org/officeDocument/2006/relationships/hyperlink" Target="http://dx.doi.org/10.5676/EUM_SAF_CM/SARAH/V001" TargetMode="External"/><Relationship Id="rId89" Type="http://schemas.openxmlformats.org/officeDocument/2006/relationships/hyperlink" Target="javascript:void(0);" TargetMode="External"/><Relationship Id="rId112" Type="http://schemas.openxmlformats.org/officeDocument/2006/relationships/hyperlink" Target="https://media.springernature.com/original/springer-static/image/art:10.1007/s00382-018-4143-1/MediaObjects/382_2018_4143_Fig12_HTML.gif" TargetMode="External"/><Relationship Id="rId133" Type="http://schemas.openxmlformats.org/officeDocument/2006/relationships/hyperlink" Target="https://books.google.co.za/books?id=ZhKTjpYCn-0C&amp;pg=PA158&amp;lpg=PA158&amp;dq=climate+radiation+reversal+since+1990&amp;source=bl&amp;ots=YpO_f2I2TK&amp;sig=znNQteN2oFc2AgCptAiT6TGRRq4&amp;hl=en&amp;sa=X&amp;ved=2ahUKEwjM15eHy9DeAhVpJMAKHWYLCJoQ6AEwBXoECAQQAQ" TargetMode="External"/><Relationship Id="rId16" Type="http://schemas.openxmlformats.org/officeDocument/2006/relationships/hyperlink" Target="http://www.nature.com/articles/nature06045" TargetMode="External"/><Relationship Id="rId107" Type="http://schemas.openxmlformats.org/officeDocument/2006/relationships/hyperlink" Target="javascript:void(0);" TargetMode="External"/><Relationship Id="rId11" Type="http://schemas.openxmlformats.org/officeDocument/2006/relationships/hyperlink" Target="http://www.nature.com/articles/nature06045" TargetMode="External"/><Relationship Id="rId32" Type="http://schemas.openxmlformats.org/officeDocument/2006/relationships/hyperlink" Target="http://www.nature.com/articles/nature06045" TargetMode="External"/><Relationship Id="rId37" Type="http://schemas.openxmlformats.org/officeDocument/2006/relationships/hyperlink" Target="http://www.nature.com/articles/nature06045" TargetMode="External"/><Relationship Id="rId53" Type="http://schemas.openxmlformats.org/officeDocument/2006/relationships/hyperlink" Target="http://www.scielo.org.za/img/revistas/jesa/v28n2/05f02.jpg" TargetMode="External"/><Relationship Id="rId58" Type="http://schemas.openxmlformats.org/officeDocument/2006/relationships/hyperlink" Target="http://www.scielo.org.za/img/revistas/jesa/v28n2/05t2.jpg" TargetMode="External"/><Relationship Id="rId74" Type="http://schemas.openxmlformats.org/officeDocument/2006/relationships/hyperlink" Target="javascript:void(0);" TargetMode="External"/><Relationship Id="rId79" Type="http://schemas.openxmlformats.org/officeDocument/2006/relationships/hyperlink" Target="javascript:void(0);" TargetMode="External"/><Relationship Id="rId102" Type="http://schemas.openxmlformats.org/officeDocument/2006/relationships/hyperlink" Target="javascript:void(0);" TargetMode="External"/><Relationship Id="rId123" Type="http://schemas.openxmlformats.org/officeDocument/2006/relationships/hyperlink" Target="https://www.nature.com/articles/nature11983" TargetMode="External"/><Relationship Id="rId128" Type="http://schemas.openxmlformats.org/officeDocument/2006/relationships/hyperlink" Target="https://www.sciencedirect.com/science/article/pii/S0022169411007487" TargetMode="External"/><Relationship Id="rId5" Type="http://schemas.openxmlformats.org/officeDocument/2006/relationships/hyperlink" Target="http://www.nature.com/articles/nature06045" TargetMode="External"/><Relationship Id="rId90" Type="http://schemas.openxmlformats.org/officeDocument/2006/relationships/hyperlink" Target="javascript:void(0);" TargetMode="External"/><Relationship Id="rId95" Type="http://schemas.openxmlformats.org/officeDocument/2006/relationships/hyperlink" Target="javascript:void(0);" TargetMode="External"/><Relationship Id="rId14" Type="http://schemas.openxmlformats.org/officeDocument/2006/relationships/hyperlink" Target="http://www.nature.com/articles/nature06045" TargetMode="External"/><Relationship Id="rId22" Type="http://schemas.openxmlformats.org/officeDocument/2006/relationships/hyperlink" Target="http://www.nature.com/articles/nature06045" TargetMode="External"/><Relationship Id="rId27" Type="http://schemas.openxmlformats.org/officeDocument/2006/relationships/hyperlink" Target="http://www.nature.com/articles/nature06045" TargetMode="External"/><Relationship Id="rId30" Type="http://schemas.openxmlformats.org/officeDocument/2006/relationships/hyperlink" Target="http://www.nature.com/articles/nature06045.ris" TargetMode="External"/><Relationship Id="rId35" Type="http://schemas.openxmlformats.org/officeDocument/2006/relationships/hyperlink" Target="http://www.nature.com/articles/nature06045" TargetMode="External"/><Relationship Id="rId43" Type="http://schemas.openxmlformats.org/officeDocument/2006/relationships/hyperlink" Target="ftp://ftp.ncdc.noaa.gov/pub/data/sds/cdr/abstracts/2010/kato.pdf" TargetMode="External"/><Relationship Id="rId48" Type="http://schemas.openxmlformats.org/officeDocument/2006/relationships/hyperlink" Target="http://adsabs.harvard.edu/cgi-bin/author_form?author=Mills,+D&amp;fullauthor=Mills,%20D.%20M.&amp;charset=ISO-8859-1&amp;db_key=PHY" TargetMode="External"/><Relationship Id="rId56" Type="http://schemas.openxmlformats.org/officeDocument/2006/relationships/image" Target="media/image1.jpeg"/><Relationship Id="rId64" Type="http://schemas.openxmlformats.org/officeDocument/2006/relationships/hyperlink" Target="http://www.scielo.org.za/img/revistas/jesa/v28n2/05f02.jpg" TargetMode="External"/><Relationship Id="rId69" Type="http://schemas.openxmlformats.org/officeDocument/2006/relationships/hyperlink" Target="javascript:void(0);" TargetMode="External"/><Relationship Id="rId77" Type="http://schemas.openxmlformats.org/officeDocument/2006/relationships/hyperlink" Target="javascript:void(0);" TargetMode="External"/><Relationship Id="rId100" Type="http://schemas.openxmlformats.org/officeDocument/2006/relationships/hyperlink" Target="javascript:void(0);" TargetMode="External"/><Relationship Id="rId105" Type="http://schemas.openxmlformats.org/officeDocument/2006/relationships/hyperlink" Target="javascript:void(0);" TargetMode="External"/><Relationship Id="rId113" Type="http://schemas.openxmlformats.org/officeDocument/2006/relationships/image" Target="media/image4.gif"/><Relationship Id="rId118" Type="http://schemas.openxmlformats.org/officeDocument/2006/relationships/hyperlink" Target="http://www.saeon.ac.za/Observations-on-Environmental-Change-in-SA-e-version-Section-2.pdf" TargetMode="External"/><Relationship Id="rId126" Type="http://schemas.openxmlformats.org/officeDocument/2006/relationships/hyperlink" Target="https://www.nature.com/articles/nature11983" TargetMode="External"/><Relationship Id="rId134" Type="http://schemas.openxmlformats.org/officeDocument/2006/relationships/image" Target="media/image8.png"/><Relationship Id="rId8" Type="http://schemas.openxmlformats.org/officeDocument/2006/relationships/hyperlink" Target="http://www.nature.com/articles/nature06045" TargetMode="External"/><Relationship Id="rId51" Type="http://schemas.openxmlformats.org/officeDocument/2006/relationships/hyperlink" Target="http://www.scielo.org.za/img/revistas/jesa/v28n2/05f01.jpg" TargetMode="External"/><Relationship Id="rId72" Type="http://schemas.openxmlformats.org/officeDocument/2006/relationships/hyperlink" Target="javascript:void(0);" TargetMode="External"/><Relationship Id="rId80" Type="http://schemas.openxmlformats.org/officeDocument/2006/relationships/hyperlink" Target="javascript:void(0);" TargetMode="External"/><Relationship Id="rId85" Type="http://schemas.openxmlformats.org/officeDocument/2006/relationships/hyperlink" Target="javascript:void(0);" TargetMode="External"/><Relationship Id="rId93" Type="http://schemas.openxmlformats.org/officeDocument/2006/relationships/hyperlink" Target="javascript:void(0);" TargetMode="External"/><Relationship Id="rId98" Type="http://schemas.openxmlformats.org/officeDocument/2006/relationships/hyperlink" Target="http://hdl.handle.net/10539/8366" TargetMode="External"/><Relationship Id="rId121" Type="http://schemas.openxmlformats.org/officeDocument/2006/relationships/hyperlink" Target="https://www.nature.com/articles/nature11983" TargetMode="External"/><Relationship Id="rId3" Type="http://schemas.openxmlformats.org/officeDocument/2006/relationships/settings" Target="settings.xml"/><Relationship Id="rId12" Type="http://schemas.openxmlformats.org/officeDocument/2006/relationships/hyperlink" Target="http://www.nature.com/articles/nature06045" TargetMode="External"/><Relationship Id="rId17" Type="http://schemas.openxmlformats.org/officeDocument/2006/relationships/hyperlink" Target="http://www.nature.com/articles/nature06045" TargetMode="External"/><Relationship Id="rId25" Type="http://schemas.openxmlformats.org/officeDocument/2006/relationships/hyperlink" Target="http://www.nature.com/articles/nature06045" TargetMode="External"/><Relationship Id="rId33" Type="http://schemas.openxmlformats.org/officeDocument/2006/relationships/hyperlink" Target="http://www.nature.com/articles/nature06045" TargetMode="External"/><Relationship Id="rId38" Type="http://schemas.openxmlformats.org/officeDocument/2006/relationships/hyperlink" Target="http://www.nature.com/articles/nature06045" TargetMode="External"/><Relationship Id="rId46" Type="http://schemas.openxmlformats.org/officeDocument/2006/relationships/hyperlink" Target="http://adsabs.harvard.edu/abs/2004AGUSM.A12A..05P" TargetMode="External"/><Relationship Id="rId59" Type="http://schemas.openxmlformats.org/officeDocument/2006/relationships/hyperlink" Target="http://www.eskom.co.za/sites/her-itage/Documents/Mpumalanga90th.pdf" TargetMode="External"/><Relationship Id="rId67" Type="http://schemas.openxmlformats.org/officeDocument/2006/relationships/hyperlink" Target="http://www.eskom.co.za/sites/heritage/Documents/Mpumalanga90th.pdf" TargetMode="External"/><Relationship Id="rId103" Type="http://schemas.openxmlformats.org/officeDocument/2006/relationships/hyperlink" Target="javascript:void(0);" TargetMode="External"/><Relationship Id="rId108" Type="http://schemas.openxmlformats.org/officeDocument/2006/relationships/hyperlink" Target="javascript:void(0);" TargetMode="External"/><Relationship Id="rId116" Type="http://schemas.openxmlformats.org/officeDocument/2006/relationships/image" Target="media/image5.gif"/><Relationship Id="rId124" Type="http://schemas.openxmlformats.org/officeDocument/2006/relationships/hyperlink" Target="https://www.nature.com/articles/nature11983" TargetMode="External"/><Relationship Id="rId129" Type="http://schemas.openxmlformats.org/officeDocument/2006/relationships/image" Target="media/image7.jpeg"/><Relationship Id="rId137" Type="http://schemas.openxmlformats.org/officeDocument/2006/relationships/theme" Target="theme/theme1.xml"/><Relationship Id="rId20" Type="http://schemas.openxmlformats.org/officeDocument/2006/relationships/hyperlink" Target="http://www.nature.com/articles/nature06045" TargetMode="External"/><Relationship Id="rId41" Type="http://schemas.openxmlformats.org/officeDocument/2006/relationships/hyperlink" Target="http://www.nature.com/articles/nature06045" TargetMode="External"/><Relationship Id="rId54" Type="http://schemas.openxmlformats.org/officeDocument/2006/relationships/hyperlink" Target="http://www.scielo.org.za/img/revistas/jesa/v28n2/05t2.jpg" TargetMode="External"/><Relationship Id="rId62" Type="http://schemas.openxmlformats.org/officeDocument/2006/relationships/hyperlink" Target="http://www.scielo.org.za/img/revistas/jesa/v28n2/05f02.jpg" TargetMode="External"/><Relationship Id="rId70" Type="http://schemas.openxmlformats.org/officeDocument/2006/relationships/hyperlink" Target="javascript:void(0);" TargetMode="External"/><Relationship Id="rId75" Type="http://schemas.openxmlformats.org/officeDocument/2006/relationships/hyperlink" Target="http://www.earth.google.com/" TargetMode="External"/><Relationship Id="rId83" Type="http://schemas.openxmlformats.org/officeDocument/2006/relationships/hyperlink" Target="javascript:void(0);" TargetMode="External"/><Relationship Id="rId88" Type="http://schemas.openxmlformats.org/officeDocument/2006/relationships/hyperlink" Target="javascript:void(0);" TargetMode="External"/><Relationship Id="rId91" Type="http://schemas.openxmlformats.org/officeDocument/2006/relationships/hyperlink" Target="javascript:void(0);" TargetMode="External"/><Relationship Id="rId96" Type="http://schemas.openxmlformats.org/officeDocument/2006/relationships/hyperlink" Target="javascript:void(0);" TargetMode="External"/><Relationship Id="rId111" Type="http://schemas.openxmlformats.org/officeDocument/2006/relationships/hyperlink" Target="https://journals.co.za/docserver/fulltext/waters/33/5/waters_v33_n5_a3.pdf?expires=1542099969&amp;id=id&amp;accname=guest&amp;checksum=73C55AD9CA33F2162C3E6D628003B4CD" TargetMode="External"/><Relationship Id="rId132" Type="http://schemas.openxmlformats.org/officeDocument/2006/relationships/hyperlink" Target="https://www.sciencedirect.com/topics/earth-and-planetary-sciences/limiting-factor" TargetMode="External"/><Relationship Id="rId1" Type="http://schemas.openxmlformats.org/officeDocument/2006/relationships/numbering" Target="numbering.xml"/><Relationship Id="rId6" Type="http://schemas.openxmlformats.org/officeDocument/2006/relationships/hyperlink" Target="http://www.nature.com/articles/nature06045" TargetMode="External"/><Relationship Id="rId15" Type="http://schemas.openxmlformats.org/officeDocument/2006/relationships/hyperlink" Target="http://www.nature.com/articles/nature06045" TargetMode="External"/><Relationship Id="rId23" Type="http://schemas.openxmlformats.org/officeDocument/2006/relationships/hyperlink" Target="http://www.nature.com/articles/nature06045" TargetMode="External"/><Relationship Id="rId28" Type="http://schemas.openxmlformats.org/officeDocument/2006/relationships/hyperlink" Target="http://www.nature.com/articles/nature06045" TargetMode="External"/><Relationship Id="rId36" Type="http://schemas.openxmlformats.org/officeDocument/2006/relationships/hyperlink" Target="http://www.nature.com/articles/nature06045" TargetMode="External"/><Relationship Id="rId49" Type="http://schemas.openxmlformats.org/officeDocument/2006/relationships/hyperlink" Target="http://www.scielo.org.za/scielo.php?script=sci_arttext&amp;pid=S1021-447X2017000200005" TargetMode="External"/><Relationship Id="rId57" Type="http://schemas.openxmlformats.org/officeDocument/2006/relationships/image" Target="media/image2.jpeg"/><Relationship Id="rId106" Type="http://schemas.openxmlformats.org/officeDocument/2006/relationships/hyperlink" Target="javascript:void(0);" TargetMode="External"/><Relationship Id="rId114" Type="http://schemas.openxmlformats.org/officeDocument/2006/relationships/hyperlink" Target="https://link.springer.com/article/10.1007/s00382-018-4143-1" TargetMode="External"/><Relationship Id="rId119" Type="http://schemas.openxmlformats.org/officeDocument/2006/relationships/image" Target="media/image6.png"/><Relationship Id="rId127" Type="http://schemas.openxmlformats.org/officeDocument/2006/relationships/hyperlink" Target="https://www.ncbi.nlm.nih.gov/m/pubmed/20935626/?i=4&amp;from=/23552893/related" TargetMode="External"/><Relationship Id="rId10" Type="http://schemas.openxmlformats.org/officeDocument/2006/relationships/hyperlink" Target="http://www.nature.com/articles/nature06045" TargetMode="External"/><Relationship Id="rId31" Type="http://schemas.openxmlformats.org/officeDocument/2006/relationships/hyperlink" Target="http://www.nature.com/articles/nature06045" TargetMode="External"/><Relationship Id="rId44" Type="http://schemas.openxmlformats.org/officeDocument/2006/relationships/hyperlink" Target="http://rnd.zednet.co.za/WRP_Marketing/Papers/2018/19th_SANCIAHS/Papers&amp;ExtendedAbastracts/Pitman_Droughts%20in%20Kruger%20Park.pdf" TargetMode="External"/><Relationship Id="rId52" Type="http://schemas.openxmlformats.org/officeDocument/2006/relationships/hyperlink" Target="http://www.scielo.org.za/img/revistas/jesa/v28n2/05t1.jpg" TargetMode="External"/><Relationship Id="rId60" Type="http://schemas.openxmlformats.org/officeDocument/2006/relationships/hyperlink" Target="http://www.scielo.org.za/img/revistas/jesa/v28n2/05f02.jpg" TargetMode="External"/><Relationship Id="rId65" Type="http://schemas.openxmlformats.org/officeDocument/2006/relationships/hyperlink" Target="http://www.scielo.org.za/img/revistas/jesa/v28n2/05f03.jpg" TargetMode="External"/><Relationship Id="rId73" Type="http://schemas.openxmlformats.org/officeDocument/2006/relationships/hyperlink" Target="javascript:void(0);" TargetMode="External"/><Relationship Id="rId78" Type="http://schemas.openxmlformats.org/officeDocument/2006/relationships/hyperlink" Target="javascript:void(0);" TargetMode="External"/><Relationship Id="rId81" Type="http://schemas.openxmlformats.org/officeDocument/2006/relationships/hyperlink" Target="javascript:void(0);" TargetMode="External"/><Relationship Id="rId86" Type="http://schemas.openxmlformats.org/officeDocument/2006/relationships/hyperlink" Target="javascript:void(0);" TargetMode="External"/><Relationship Id="rId94" Type="http://schemas.openxmlformats.org/officeDocument/2006/relationships/hyperlink" Target="https://doi.org/10.1002/2015GL067543" TargetMode="External"/><Relationship Id="rId99" Type="http://schemas.openxmlformats.org/officeDocument/2006/relationships/hyperlink" Target="javascript:void(0);" TargetMode="External"/><Relationship Id="rId101" Type="http://schemas.openxmlformats.org/officeDocument/2006/relationships/hyperlink" Target="javascript:void(0);" TargetMode="External"/><Relationship Id="rId122" Type="http://schemas.openxmlformats.org/officeDocument/2006/relationships/hyperlink" Target="https://www.nature.com/articles/nature11983" TargetMode="External"/><Relationship Id="rId130" Type="http://schemas.openxmlformats.org/officeDocument/2006/relationships/hyperlink" Target="https://ars.els-cdn.com/content/image/1-s2.0-S0022169411007487-fx1.jpg" TargetMode="External"/><Relationship Id="rId135"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hyperlink" Target="http://www.nature.com/articles/nature06045" TargetMode="External"/><Relationship Id="rId13" Type="http://schemas.openxmlformats.org/officeDocument/2006/relationships/hyperlink" Target="http://www.nature.com/articles/nature06045" TargetMode="External"/><Relationship Id="rId18" Type="http://schemas.openxmlformats.org/officeDocument/2006/relationships/hyperlink" Target="http://www.nature.com/articles/nature06045" TargetMode="External"/><Relationship Id="rId39" Type="http://schemas.openxmlformats.org/officeDocument/2006/relationships/hyperlink" Target="http://www.nature.com/articles/nature06045" TargetMode="External"/><Relationship Id="rId109" Type="http://schemas.openxmlformats.org/officeDocument/2006/relationships/hyperlink" Target="javascript:void(0);" TargetMode="External"/><Relationship Id="rId34" Type="http://schemas.openxmlformats.org/officeDocument/2006/relationships/hyperlink" Target="http://www.nature.com/articles/nature06045" TargetMode="External"/><Relationship Id="rId50" Type="http://schemas.openxmlformats.org/officeDocument/2006/relationships/hyperlink" Target="http://www.scielo.org.za/scielo.php?script=sci_arttext&amp;pid=S1021-447X2017000200005" TargetMode="External"/><Relationship Id="rId55" Type="http://schemas.openxmlformats.org/officeDocument/2006/relationships/hyperlink" Target="http://www.scielo.org.za/img/revistas/jesa/v28n2/05t1.jpg" TargetMode="External"/><Relationship Id="rId76" Type="http://schemas.openxmlformats.org/officeDocument/2006/relationships/hyperlink" Target="javascript:void(0);" TargetMode="External"/><Relationship Id="rId97" Type="http://schemas.openxmlformats.org/officeDocument/2006/relationships/hyperlink" Target="javascript:void(0);" TargetMode="External"/><Relationship Id="rId104" Type="http://schemas.openxmlformats.org/officeDocument/2006/relationships/hyperlink" Target="javascript:void(0);" TargetMode="External"/><Relationship Id="rId120" Type="http://schemas.openxmlformats.org/officeDocument/2006/relationships/hyperlink" Target="https://www.nature.com/articles/nature11983" TargetMode="External"/><Relationship Id="rId125" Type="http://schemas.openxmlformats.org/officeDocument/2006/relationships/hyperlink" Target="https://www.nature.com/articles/nature11983" TargetMode="External"/><Relationship Id="rId7" Type="http://schemas.openxmlformats.org/officeDocument/2006/relationships/hyperlink" Target="http://www.nature.com/articles/nature06045" TargetMode="External"/><Relationship Id="rId71" Type="http://schemas.openxmlformats.org/officeDocument/2006/relationships/hyperlink" Target="javascript:void(0);" TargetMode="External"/><Relationship Id="rId92" Type="http://schemas.openxmlformats.org/officeDocument/2006/relationships/hyperlink" Target="javascript:void(0);" TargetMode="External"/><Relationship Id="rId2" Type="http://schemas.openxmlformats.org/officeDocument/2006/relationships/styles" Target="styles.xml"/><Relationship Id="rId29" Type="http://schemas.openxmlformats.org/officeDocument/2006/relationships/hyperlink" Target="javascript:;" TargetMode="External"/><Relationship Id="rId24" Type="http://schemas.openxmlformats.org/officeDocument/2006/relationships/hyperlink" Target="http://www.nature.com/articles/nature06045" TargetMode="External"/><Relationship Id="rId40" Type="http://schemas.openxmlformats.org/officeDocument/2006/relationships/hyperlink" Target="http://www.nature.com/articles/nature06045" TargetMode="External"/><Relationship Id="rId45" Type="http://schemas.openxmlformats.org/officeDocument/2006/relationships/hyperlink" Target="http://rnd.zednet.co.za/WRP_Marketing/Papers/2018/19th_SANCIAHS/Papers&amp;ExtendedAbastracts/" TargetMode="External"/><Relationship Id="rId66" Type="http://schemas.openxmlformats.org/officeDocument/2006/relationships/image" Target="media/image3.jpeg"/><Relationship Id="rId87" Type="http://schemas.openxmlformats.org/officeDocument/2006/relationships/hyperlink" Target="javascript:void(0);" TargetMode="External"/><Relationship Id="rId110" Type="http://schemas.openxmlformats.org/officeDocument/2006/relationships/hyperlink" Target="javascript:void(0);" TargetMode="External"/><Relationship Id="rId115" Type="http://schemas.openxmlformats.org/officeDocument/2006/relationships/hyperlink" Target="https://media.springernature.com/original/springer-static/image/art:10.1007/s00382-018-4143-1/MediaObjects/382_2018_4143_Fig13_HTML.gif" TargetMode="External"/><Relationship Id="rId131" Type="http://schemas.openxmlformats.org/officeDocument/2006/relationships/hyperlink" Target="https://www.sciencedirect.com/topics/agricultural-and-biological-sciences/evapotranspiration" TargetMode="External"/><Relationship Id="rId136" Type="http://schemas.openxmlformats.org/officeDocument/2006/relationships/fontTable" Target="fontTable.xml"/><Relationship Id="rId61" Type="http://schemas.openxmlformats.org/officeDocument/2006/relationships/hyperlink" Target="http://www.scielo.org.za/img/revistas/jesa/v28n2/05f02.jpg" TargetMode="External"/><Relationship Id="rId82" Type="http://schemas.openxmlformats.org/officeDocument/2006/relationships/hyperlink" Target="javascript:void(0);" TargetMode="External"/><Relationship Id="rId19" Type="http://schemas.openxmlformats.org/officeDocument/2006/relationships/hyperlink" Target="http://www.nature.com/articles/nature0604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215</TotalTime>
  <Pages>22</Pages>
  <Words>8362</Words>
  <Characters>47669</Characters>
  <Application>Microsoft Office Word</Application>
  <DocSecurity>0</DocSecurity>
  <Lines>397</Lines>
  <Paragraphs>111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55920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Pieter van Rooyen</dc:creator>
  <cp:keywords/>
  <dc:description/>
  <cp:lastModifiedBy>Pieter van Rooyen</cp:lastModifiedBy>
  <cp:revision>88</cp:revision>
  <cp:lastPrinted>2018-11-13T08:38:00Z</cp:lastPrinted>
  <dcterms:created xsi:type="dcterms:W3CDTF">2018-11-13T05:32:00Z</dcterms:created>
  <dcterms:modified xsi:type="dcterms:W3CDTF">2018-11-17T10:23:00Z</dcterms:modified>
</cp:coreProperties>
</file>